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82EF1" w:rsidTr="006362F6">
        <w:trPr>
          <w:jc w:val="center"/>
        </w:trPr>
        <w:tc>
          <w:tcPr>
            <w:tcW w:w="743" w:type="dxa"/>
            <w:hideMark/>
          </w:tcPr>
          <w:p w:rsidR="00382EF1" w:rsidRPr="00F414FC" w:rsidRDefault="00382EF1" w:rsidP="006362F6">
            <w:pPr>
              <w:jc w:val="both"/>
              <w:rPr>
                <w:rFonts w:ascii="Arial (W1)" w:hAnsi="Arial (W1)"/>
                <w:b/>
                <w:bCs/>
                <w:sz w:val="26"/>
                <w:szCs w:val="26"/>
              </w:rPr>
            </w:pPr>
            <w:r w:rsidRPr="00F414FC">
              <w:rPr>
                <w:rFonts w:hint="cs"/>
                <w:b/>
                <w:bCs/>
                <w:sz w:val="26"/>
                <w:szCs w:val="26"/>
                <w:rtl/>
              </w:rPr>
              <w:t xml:space="preserve">לפני </w:t>
            </w:r>
          </w:p>
        </w:tc>
        <w:tc>
          <w:tcPr>
            <w:tcW w:w="8077" w:type="dxa"/>
            <w:gridSpan w:val="2"/>
            <w:hideMark/>
          </w:tcPr>
          <w:p w:rsidR="00382EF1" w:rsidRPr="00F414FC" w:rsidRDefault="00382EF1" w:rsidP="006362F6">
            <w:pPr>
              <w:rPr>
                <w:rFonts w:ascii="Arial" w:hAnsi="Arial"/>
                <w:b/>
                <w:bCs/>
                <w:sz w:val="26"/>
                <w:szCs w:val="26"/>
                <w:rtl/>
              </w:rPr>
            </w:pPr>
            <w:r w:rsidRPr="00F414FC">
              <w:rPr>
                <w:rFonts w:ascii="Arial" w:hAnsi="Arial" w:hint="cs"/>
                <w:b/>
                <w:bCs/>
                <w:sz w:val="26"/>
                <w:szCs w:val="26"/>
                <w:rtl/>
              </w:rPr>
              <w:t>כבוד ה</w:t>
            </w:r>
            <w:r w:rsidRPr="00F414FC">
              <w:rPr>
                <w:rFonts w:ascii="Arial" w:hAnsi="Arial"/>
                <w:b/>
                <w:bCs/>
                <w:sz w:val="26"/>
                <w:szCs w:val="26"/>
                <w:rtl/>
              </w:rPr>
              <w:t xml:space="preserve">שופטת </w:t>
            </w:r>
            <w:r w:rsidRPr="00F414FC">
              <w:rPr>
                <w:rFonts w:ascii="Arial" w:hAnsi="Arial" w:hint="cs"/>
                <w:b/>
                <w:bCs/>
                <w:sz w:val="26"/>
                <w:szCs w:val="26"/>
                <w:rtl/>
              </w:rPr>
              <w:t>ה</w:t>
            </w:r>
            <w:r w:rsidRPr="00F414FC">
              <w:rPr>
                <w:rFonts w:ascii="Arial" w:hAnsi="Arial"/>
                <w:b/>
                <w:bCs/>
                <w:sz w:val="26"/>
                <w:szCs w:val="26"/>
                <w:rtl/>
              </w:rPr>
              <w:t>בכירה</w:t>
            </w:r>
            <w:r w:rsidRPr="00F414FC">
              <w:rPr>
                <w:rFonts w:ascii="Arial" w:hAnsi="Arial" w:hint="cs"/>
                <w:b/>
                <w:bCs/>
                <w:sz w:val="26"/>
                <w:szCs w:val="26"/>
                <w:rtl/>
              </w:rPr>
              <w:t xml:space="preserve">  </w:t>
            </w:r>
            <w:r w:rsidRPr="00F414FC">
              <w:rPr>
                <w:rFonts w:ascii="Arial" w:hAnsi="Arial"/>
                <w:b/>
                <w:bCs/>
                <w:sz w:val="26"/>
                <w:szCs w:val="26"/>
                <w:rtl/>
              </w:rPr>
              <w:t>שושנה ברגר</w:t>
            </w:r>
          </w:p>
          <w:p w:rsidR="00382EF1" w:rsidRPr="00F414FC" w:rsidRDefault="00382EF1" w:rsidP="006362F6">
            <w:pPr>
              <w:rPr>
                <w:b/>
                <w:bCs/>
                <w:sz w:val="26"/>
                <w:szCs w:val="26"/>
              </w:rPr>
            </w:pPr>
          </w:p>
        </w:tc>
      </w:tr>
      <w:tr w:rsidR="00382EF1" w:rsidTr="006362F6">
        <w:trPr>
          <w:jc w:val="center"/>
        </w:trPr>
        <w:tc>
          <w:tcPr>
            <w:tcW w:w="3249" w:type="dxa"/>
            <w:gridSpan w:val="2"/>
          </w:tcPr>
          <w:p w:rsidR="00382EF1" w:rsidRPr="00F414FC" w:rsidRDefault="00382EF1" w:rsidP="006362F6">
            <w:pPr>
              <w:rPr>
                <w:rFonts w:ascii="Arial (W1)" w:hAnsi="Arial (W1)"/>
                <w:b/>
                <w:bCs/>
                <w:noProof w:val="0"/>
                <w:sz w:val="26"/>
                <w:szCs w:val="26"/>
              </w:rPr>
            </w:pPr>
            <w:r w:rsidRPr="00F414FC">
              <w:rPr>
                <w:rFonts w:hint="cs"/>
                <w:b/>
                <w:bCs/>
                <w:noProof w:val="0"/>
                <w:sz w:val="26"/>
                <w:szCs w:val="26"/>
                <w:rtl/>
              </w:rPr>
              <w:t>התובעת:</w:t>
            </w:r>
          </w:p>
        </w:tc>
        <w:tc>
          <w:tcPr>
            <w:tcW w:w="5571" w:type="dxa"/>
          </w:tcPr>
          <w:p w:rsidR="00382EF1" w:rsidRPr="00F414FC" w:rsidRDefault="00010184" w:rsidP="00010184">
            <w:pPr>
              <w:rPr>
                <w:b/>
                <w:bCs/>
                <w:noProof w:val="0"/>
                <w:sz w:val="26"/>
                <w:szCs w:val="26"/>
                <w:rtl/>
              </w:rPr>
            </w:pPr>
            <w:r>
              <w:rPr>
                <w:rFonts w:hint="cs"/>
                <w:b/>
                <w:bCs/>
                <w:noProof w:val="0"/>
                <w:sz w:val="26"/>
                <w:szCs w:val="26"/>
                <w:rtl/>
              </w:rPr>
              <w:t xml:space="preserve">רשות האוכלוסין וההגירה – </w:t>
            </w:r>
            <w:r>
              <w:rPr>
                <w:rFonts w:hint="cs"/>
                <w:b/>
                <w:bCs/>
                <w:noProof w:val="0"/>
                <w:sz w:val="26"/>
                <w:szCs w:val="26"/>
              </w:rPr>
              <w:t>XXX</w:t>
            </w:r>
            <w:r w:rsidR="00382EF1" w:rsidRPr="00F414FC">
              <w:rPr>
                <w:rFonts w:hint="cs"/>
                <w:b/>
                <w:bCs/>
                <w:noProof w:val="0"/>
                <w:sz w:val="26"/>
                <w:szCs w:val="26"/>
                <w:rtl/>
              </w:rPr>
              <w:t xml:space="preserve">  </w:t>
            </w:r>
          </w:p>
          <w:p w:rsidR="00382EF1" w:rsidRPr="00F414FC" w:rsidRDefault="00382EF1" w:rsidP="006362F6">
            <w:pPr>
              <w:rPr>
                <w:rFonts w:ascii="Arial (W1)" w:hAnsi="Arial (W1)"/>
                <w:b/>
                <w:bCs/>
                <w:noProof w:val="0"/>
                <w:sz w:val="26"/>
                <w:szCs w:val="26"/>
              </w:rPr>
            </w:pPr>
            <w:r w:rsidRPr="00F414FC">
              <w:rPr>
                <w:rFonts w:ascii="Arial" w:hAnsi="Arial"/>
                <w:b/>
                <w:bCs/>
                <w:noProof w:val="0"/>
                <w:sz w:val="26"/>
                <w:szCs w:val="26"/>
                <w:rtl/>
              </w:rPr>
              <w:t>ע"י ב"כ עוה"ד</w:t>
            </w:r>
            <w:r w:rsidRPr="00F414FC">
              <w:rPr>
                <w:rFonts w:ascii="Arial (W1)" w:hAnsi="Arial (W1)" w:hint="cs"/>
                <w:b/>
                <w:bCs/>
                <w:noProof w:val="0"/>
                <w:sz w:val="26"/>
                <w:szCs w:val="26"/>
                <w:rtl/>
              </w:rPr>
              <w:t xml:space="preserve"> תמי בראל</w:t>
            </w:r>
          </w:p>
        </w:tc>
      </w:tr>
      <w:tr w:rsidR="00382EF1" w:rsidTr="006362F6">
        <w:trPr>
          <w:jc w:val="center"/>
        </w:trPr>
        <w:tc>
          <w:tcPr>
            <w:tcW w:w="8820" w:type="dxa"/>
            <w:gridSpan w:val="3"/>
          </w:tcPr>
          <w:p w:rsidR="00382EF1" w:rsidRPr="00F414FC" w:rsidRDefault="00382EF1" w:rsidP="006362F6">
            <w:pPr>
              <w:rPr>
                <w:rFonts w:ascii="Arial (W1)" w:hAnsi="Arial (W1)"/>
                <w:b/>
                <w:bCs/>
                <w:noProof w:val="0"/>
                <w:sz w:val="26"/>
                <w:szCs w:val="26"/>
                <w:rtl/>
              </w:rPr>
            </w:pPr>
          </w:p>
          <w:p w:rsidR="00382EF1" w:rsidRPr="00F414FC" w:rsidRDefault="00382EF1" w:rsidP="006362F6">
            <w:pPr>
              <w:jc w:val="center"/>
              <w:rPr>
                <w:rFonts w:ascii="Arial (W1)" w:hAnsi="Arial (W1)"/>
                <w:b/>
                <w:bCs/>
                <w:noProof w:val="0"/>
                <w:sz w:val="26"/>
                <w:szCs w:val="26"/>
              </w:rPr>
            </w:pPr>
            <w:r w:rsidRPr="00F414FC">
              <w:rPr>
                <w:rFonts w:hint="cs"/>
                <w:b/>
                <w:bCs/>
                <w:noProof w:val="0"/>
                <w:sz w:val="26"/>
                <w:szCs w:val="26"/>
                <w:rtl/>
              </w:rPr>
              <w:t>נגד</w:t>
            </w:r>
          </w:p>
        </w:tc>
      </w:tr>
      <w:tr w:rsidR="00382EF1" w:rsidTr="006362F6">
        <w:trPr>
          <w:jc w:val="center"/>
        </w:trPr>
        <w:tc>
          <w:tcPr>
            <w:tcW w:w="3249" w:type="dxa"/>
            <w:gridSpan w:val="2"/>
          </w:tcPr>
          <w:p w:rsidR="00382EF1" w:rsidRPr="00F414FC" w:rsidRDefault="00382EF1" w:rsidP="006362F6">
            <w:pPr>
              <w:rPr>
                <w:rFonts w:ascii="Arial (W1)" w:hAnsi="Arial (W1)"/>
                <w:b/>
                <w:bCs/>
                <w:noProof w:val="0"/>
                <w:sz w:val="26"/>
                <w:szCs w:val="26"/>
                <w:rtl/>
              </w:rPr>
            </w:pPr>
          </w:p>
          <w:p w:rsidR="00382EF1" w:rsidRPr="00F414FC" w:rsidRDefault="00382EF1" w:rsidP="006362F6">
            <w:pPr>
              <w:rPr>
                <w:rFonts w:ascii="Arial (W1)" w:hAnsi="Arial (W1)"/>
                <w:b/>
                <w:bCs/>
                <w:noProof w:val="0"/>
                <w:sz w:val="26"/>
                <w:szCs w:val="26"/>
              </w:rPr>
            </w:pPr>
            <w:r w:rsidRPr="00F414FC">
              <w:rPr>
                <w:rFonts w:hint="cs"/>
                <w:b/>
                <w:bCs/>
                <w:noProof w:val="0"/>
                <w:sz w:val="26"/>
                <w:szCs w:val="26"/>
                <w:rtl/>
              </w:rPr>
              <w:t>הנתבעים</w:t>
            </w:r>
            <w:r w:rsidRPr="00F414FC">
              <w:rPr>
                <w:rFonts w:ascii="Arial (W1)" w:hAnsi="Arial (W1)" w:hint="cs"/>
                <w:b/>
                <w:bCs/>
                <w:noProof w:val="0"/>
                <w:sz w:val="26"/>
                <w:szCs w:val="26"/>
                <w:rtl/>
              </w:rPr>
              <w:t>:</w:t>
            </w:r>
          </w:p>
        </w:tc>
        <w:tc>
          <w:tcPr>
            <w:tcW w:w="5571" w:type="dxa"/>
          </w:tcPr>
          <w:p w:rsidR="00382EF1" w:rsidRPr="00F414FC" w:rsidRDefault="00382EF1" w:rsidP="006362F6">
            <w:pPr>
              <w:rPr>
                <w:rFonts w:ascii="Arial (W1)" w:hAnsi="Arial (W1)"/>
                <w:b/>
                <w:bCs/>
                <w:noProof w:val="0"/>
                <w:sz w:val="26"/>
                <w:szCs w:val="26"/>
                <w:rtl/>
              </w:rPr>
            </w:pPr>
          </w:p>
          <w:p w:rsidR="00382EF1" w:rsidRPr="00F414FC" w:rsidRDefault="00382EF1" w:rsidP="00010184">
            <w:pPr>
              <w:rPr>
                <w:rFonts w:ascii="Arial (W1)" w:hAnsi="Arial (W1)"/>
                <w:b/>
                <w:bCs/>
                <w:noProof w:val="0"/>
                <w:sz w:val="26"/>
                <w:szCs w:val="26"/>
              </w:rPr>
            </w:pPr>
            <w:r w:rsidRPr="00F414FC">
              <w:rPr>
                <w:rFonts w:hint="cs"/>
                <w:b/>
                <w:bCs/>
                <w:noProof w:val="0"/>
                <w:sz w:val="26"/>
                <w:szCs w:val="26"/>
                <w:rtl/>
              </w:rPr>
              <w:t>1.</w:t>
            </w:r>
            <w:r w:rsidR="00010184">
              <w:rPr>
                <w:rFonts w:hint="cs"/>
                <w:b/>
                <w:bCs/>
                <w:noProof w:val="0"/>
                <w:sz w:val="26"/>
                <w:szCs w:val="26"/>
              </w:rPr>
              <w:t>XXX</w:t>
            </w:r>
            <w:r w:rsidRPr="00F414FC">
              <w:rPr>
                <w:rFonts w:hint="cs"/>
                <w:b/>
                <w:bCs/>
                <w:noProof w:val="0"/>
                <w:sz w:val="26"/>
                <w:szCs w:val="26"/>
                <w:rtl/>
              </w:rPr>
              <w:t xml:space="preserve"> </w:t>
            </w:r>
            <w:r w:rsidRPr="00F414FC">
              <w:rPr>
                <w:rFonts w:hint="eastAsia"/>
                <w:b/>
                <w:bCs/>
                <w:noProof w:val="0"/>
                <w:sz w:val="26"/>
                <w:szCs w:val="26"/>
                <w:rtl/>
              </w:rPr>
              <w:t>ת"ז</w:t>
            </w:r>
            <w:r w:rsidR="00010184">
              <w:rPr>
                <w:rFonts w:hint="cs"/>
                <w:b/>
                <w:bCs/>
                <w:noProof w:val="0"/>
                <w:sz w:val="26"/>
                <w:szCs w:val="26"/>
                <w:rtl/>
              </w:rPr>
              <w:t xml:space="preserve"> </w:t>
            </w:r>
            <w:r w:rsidR="00010184">
              <w:rPr>
                <w:rFonts w:hint="cs"/>
                <w:b/>
                <w:bCs/>
                <w:noProof w:val="0"/>
                <w:sz w:val="26"/>
                <w:szCs w:val="26"/>
              </w:rPr>
              <w:t>XXX</w:t>
            </w:r>
            <w:r w:rsidRPr="00F414FC">
              <w:rPr>
                <w:rFonts w:hint="cs"/>
                <w:b/>
                <w:bCs/>
                <w:sz w:val="26"/>
                <w:szCs w:val="26"/>
                <w:rtl/>
              </w:rPr>
              <w:t xml:space="preserve"> </w:t>
            </w:r>
          </w:p>
          <w:p w:rsidR="00382EF1" w:rsidRPr="00F414FC" w:rsidRDefault="00382EF1" w:rsidP="00010184">
            <w:pPr>
              <w:rPr>
                <w:rFonts w:ascii="Arial (W1)" w:hAnsi="Arial (W1)"/>
                <w:b/>
                <w:bCs/>
                <w:noProof w:val="0"/>
                <w:sz w:val="26"/>
                <w:szCs w:val="26"/>
              </w:rPr>
            </w:pPr>
            <w:r w:rsidRPr="00F414FC">
              <w:rPr>
                <w:rFonts w:hint="cs"/>
                <w:b/>
                <w:bCs/>
                <w:noProof w:val="0"/>
                <w:sz w:val="26"/>
                <w:szCs w:val="26"/>
                <w:rtl/>
              </w:rPr>
              <w:t>2.</w:t>
            </w:r>
            <w:r w:rsidR="00010184">
              <w:rPr>
                <w:rFonts w:hint="cs"/>
                <w:b/>
                <w:bCs/>
                <w:noProof w:val="0"/>
                <w:sz w:val="26"/>
                <w:szCs w:val="26"/>
              </w:rPr>
              <w:t>XXX</w:t>
            </w:r>
            <w:r w:rsidRPr="00F414FC">
              <w:rPr>
                <w:rFonts w:hint="cs"/>
                <w:b/>
                <w:bCs/>
                <w:noProof w:val="0"/>
                <w:sz w:val="26"/>
                <w:szCs w:val="26"/>
                <w:rtl/>
              </w:rPr>
              <w:t xml:space="preserve"> </w:t>
            </w:r>
            <w:r w:rsidRPr="00F414FC">
              <w:rPr>
                <w:rFonts w:hint="eastAsia"/>
                <w:b/>
                <w:bCs/>
                <w:noProof w:val="0"/>
                <w:sz w:val="26"/>
                <w:szCs w:val="26"/>
                <w:rtl/>
              </w:rPr>
              <w:t>ת"ז</w:t>
            </w:r>
            <w:r w:rsidRPr="00F414FC">
              <w:rPr>
                <w:rFonts w:hint="cs"/>
                <w:b/>
                <w:bCs/>
                <w:noProof w:val="0"/>
                <w:sz w:val="26"/>
                <w:szCs w:val="26"/>
                <w:rtl/>
              </w:rPr>
              <w:t xml:space="preserve"> </w:t>
            </w:r>
            <w:r w:rsidR="00010184">
              <w:rPr>
                <w:rFonts w:hint="cs"/>
                <w:b/>
                <w:bCs/>
                <w:sz w:val="26"/>
                <w:szCs w:val="26"/>
              </w:rPr>
              <w:t>XXX</w:t>
            </w:r>
            <w:r w:rsidRPr="00F414FC">
              <w:rPr>
                <w:rFonts w:hint="cs"/>
                <w:b/>
                <w:bCs/>
                <w:sz w:val="26"/>
                <w:szCs w:val="26"/>
                <w:rtl/>
              </w:rPr>
              <w:t xml:space="preserve"> </w:t>
            </w:r>
          </w:p>
          <w:p w:rsidR="00382EF1" w:rsidRPr="00F414FC" w:rsidRDefault="00382EF1" w:rsidP="00010184">
            <w:pPr>
              <w:rPr>
                <w:rFonts w:ascii="Arial (W1)" w:hAnsi="Arial (W1)"/>
                <w:b/>
                <w:bCs/>
                <w:noProof w:val="0"/>
                <w:sz w:val="26"/>
                <w:szCs w:val="26"/>
              </w:rPr>
            </w:pPr>
            <w:r w:rsidRPr="00F414FC">
              <w:rPr>
                <w:rFonts w:hint="cs"/>
                <w:b/>
                <w:bCs/>
                <w:noProof w:val="0"/>
                <w:sz w:val="26"/>
                <w:szCs w:val="26"/>
                <w:rtl/>
              </w:rPr>
              <w:t>3.</w:t>
            </w:r>
            <w:r w:rsidR="00010184">
              <w:rPr>
                <w:rFonts w:hint="cs"/>
                <w:b/>
                <w:bCs/>
                <w:noProof w:val="0"/>
                <w:sz w:val="26"/>
                <w:szCs w:val="26"/>
              </w:rPr>
              <w:t>XXX</w:t>
            </w:r>
            <w:r w:rsidRPr="00F414FC">
              <w:rPr>
                <w:rFonts w:hint="cs"/>
                <w:b/>
                <w:bCs/>
                <w:noProof w:val="0"/>
                <w:sz w:val="26"/>
                <w:szCs w:val="26"/>
                <w:rtl/>
              </w:rPr>
              <w:t xml:space="preserve"> </w:t>
            </w:r>
            <w:r w:rsidRPr="00F414FC">
              <w:rPr>
                <w:rFonts w:hint="eastAsia"/>
                <w:b/>
                <w:bCs/>
                <w:noProof w:val="0"/>
                <w:sz w:val="26"/>
                <w:szCs w:val="26"/>
                <w:rtl/>
              </w:rPr>
              <w:t>ת"ז</w:t>
            </w:r>
            <w:r w:rsidR="00010184">
              <w:rPr>
                <w:rFonts w:hint="cs"/>
                <w:b/>
                <w:bCs/>
                <w:sz w:val="26"/>
                <w:szCs w:val="26"/>
                <w:rtl/>
              </w:rPr>
              <w:t xml:space="preserve"> </w:t>
            </w:r>
            <w:r w:rsidR="00010184">
              <w:rPr>
                <w:rFonts w:hint="cs"/>
                <w:b/>
                <w:bCs/>
                <w:sz w:val="26"/>
                <w:szCs w:val="26"/>
              </w:rPr>
              <w:t>XXX</w:t>
            </w:r>
            <w:r w:rsidRPr="00F414FC">
              <w:rPr>
                <w:rFonts w:hint="cs"/>
                <w:b/>
                <w:bCs/>
                <w:sz w:val="26"/>
                <w:szCs w:val="26"/>
                <w:rtl/>
              </w:rPr>
              <w:t xml:space="preserve"> </w:t>
            </w:r>
          </w:p>
          <w:p w:rsidR="00382EF1" w:rsidRPr="00F414FC" w:rsidRDefault="00382EF1" w:rsidP="00010184">
            <w:pPr>
              <w:rPr>
                <w:rFonts w:ascii="Arial (W1)" w:hAnsi="Arial (W1)"/>
                <w:b/>
                <w:bCs/>
                <w:noProof w:val="0"/>
                <w:sz w:val="26"/>
                <w:szCs w:val="26"/>
              </w:rPr>
            </w:pPr>
            <w:r w:rsidRPr="00F414FC">
              <w:rPr>
                <w:rFonts w:hint="cs"/>
                <w:b/>
                <w:bCs/>
                <w:noProof w:val="0"/>
                <w:sz w:val="26"/>
                <w:szCs w:val="26"/>
                <w:rtl/>
              </w:rPr>
              <w:t>4.</w:t>
            </w:r>
            <w:r w:rsidR="00010184">
              <w:rPr>
                <w:rFonts w:hint="cs"/>
                <w:b/>
                <w:bCs/>
                <w:noProof w:val="0"/>
                <w:sz w:val="26"/>
                <w:szCs w:val="26"/>
              </w:rPr>
              <w:t>XXX</w:t>
            </w:r>
            <w:r w:rsidRPr="00F414FC">
              <w:rPr>
                <w:rFonts w:hint="cs"/>
                <w:b/>
                <w:bCs/>
                <w:noProof w:val="0"/>
                <w:sz w:val="26"/>
                <w:szCs w:val="26"/>
                <w:rtl/>
              </w:rPr>
              <w:t xml:space="preserve"> (קטין) </w:t>
            </w:r>
            <w:r w:rsidRPr="00F414FC">
              <w:rPr>
                <w:rFonts w:hint="eastAsia"/>
                <w:b/>
                <w:bCs/>
                <w:noProof w:val="0"/>
                <w:sz w:val="26"/>
                <w:szCs w:val="26"/>
                <w:rtl/>
              </w:rPr>
              <w:t>ת"ז</w:t>
            </w:r>
            <w:r w:rsidR="00010184">
              <w:rPr>
                <w:rFonts w:hint="cs"/>
                <w:b/>
                <w:bCs/>
                <w:noProof w:val="0"/>
                <w:sz w:val="26"/>
                <w:szCs w:val="26"/>
                <w:rtl/>
              </w:rPr>
              <w:t xml:space="preserve"> </w:t>
            </w:r>
            <w:r w:rsidR="00010184">
              <w:rPr>
                <w:rFonts w:hint="cs"/>
                <w:b/>
                <w:bCs/>
                <w:noProof w:val="0"/>
                <w:sz w:val="26"/>
                <w:szCs w:val="26"/>
              </w:rPr>
              <w:t>XXX</w:t>
            </w:r>
            <w:r w:rsidRPr="00F414FC">
              <w:rPr>
                <w:rFonts w:hint="cs"/>
                <w:b/>
                <w:bCs/>
                <w:sz w:val="26"/>
                <w:szCs w:val="26"/>
                <w:rtl/>
              </w:rPr>
              <w:t xml:space="preserve"> </w:t>
            </w:r>
          </w:p>
          <w:p w:rsidR="00382EF1" w:rsidRPr="00F414FC" w:rsidRDefault="00382EF1" w:rsidP="00010184">
            <w:pPr>
              <w:rPr>
                <w:rFonts w:ascii="Arial (W1)" w:hAnsi="Arial (W1)"/>
                <w:b/>
                <w:bCs/>
                <w:noProof w:val="0"/>
                <w:sz w:val="26"/>
                <w:szCs w:val="26"/>
              </w:rPr>
            </w:pPr>
            <w:r w:rsidRPr="00F414FC">
              <w:rPr>
                <w:rFonts w:hint="cs"/>
                <w:b/>
                <w:bCs/>
                <w:noProof w:val="0"/>
                <w:sz w:val="26"/>
                <w:szCs w:val="26"/>
                <w:rtl/>
              </w:rPr>
              <w:t>5.</w:t>
            </w:r>
            <w:r w:rsidR="00010184">
              <w:rPr>
                <w:rFonts w:hint="cs"/>
                <w:b/>
                <w:bCs/>
                <w:noProof w:val="0"/>
                <w:sz w:val="26"/>
                <w:szCs w:val="26"/>
              </w:rPr>
              <w:t>XXX</w:t>
            </w:r>
            <w:r w:rsidRPr="00F414FC">
              <w:rPr>
                <w:rFonts w:hint="cs"/>
                <w:b/>
                <w:bCs/>
                <w:noProof w:val="0"/>
                <w:sz w:val="26"/>
                <w:szCs w:val="26"/>
                <w:rtl/>
              </w:rPr>
              <w:t xml:space="preserve"> (קטין) </w:t>
            </w:r>
            <w:r w:rsidRPr="00F414FC">
              <w:rPr>
                <w:rFonts w:hint="eastAsia"/>
                <w:b/>
                <w:bCs/>
                <w:noProof w:val="0"/>
                <w:sz w:val="26"/>
                <w:szCs w:val="26"/>
                <w:rtl/>
              </w:rPr>
              <w:t>ת"ז</w:t>
            </w:r>
            <w:r w:rsidR="00010184">
              <w:rPr>
                <w:rFonts w:hint="cs"/>
                <w:b/>
                <w:bCs/>
                <w:noProof w:val="0"/>
                <w:sz w:val="26"/>
                <w:szCs w:val="26"/>
                <w:rtl/>
              </w:rPr>
              <w:t xml:space="preserve"> </w:t>
            </w:r>
            <w:r w:rsidR="00010184">
              <w:rPr>
                <w:rFonts w:hint="cs"/>
                <w:b/>
                <w:bCs/>
                <w:noProof w:val="0"/>
                <w:sz w:val="26"/>
                <w:szCs w:val="26"/>
              </w:rPr>
              <w:t>XXX</w:t>
            </w:r>
            <w:r w:rsidRPr="00F414FC">
              <w:rPr>
                <w:rFonts w:hint="cs"/>
                <w:b/>
                <w:bCs/>
                <w:sz w:val="26"/>
                <w:szCs w:val="26"/>
                <w:rtl/>
              </w:rPr>
              <w:t xml:space="preserve"> </w:t>
            </w:r>
          </w:p>
          <w:p w:rsidR="00382EF1" w:rsidRPr="00F414FC" w:rsidRDefault="00382EF1" w:rsidP="00010184">
            <w:pPr>
              <w:rPr>
                <w:b/>
                <w:bCs/>
                <w:sz w:val="26"/>
                <w:szCs w:val="26"/>
                <w:rtl/>
              </w:rPr>
            </w:pPr>
            <w:r w:rsidRPr="00F414FC">
              <w:rPr>
                <w:rFonts w:hint="cs"/>
                <w:b/>
                <w:bCs/>
                <w:noProof w:val="0"/>
                <w:sz w:val="26"/>
                <w:szCs w:val="26"/>
                <w:rtl/>
              </w:rPr>
              <w:t>6.</w:t>
            </w:r>
            <w:r w:rsidR="00010184">
              <w:rPr>
                <w:rFonts w:hint="cs"/>
                <w:b/>
                <w:bCs/>
                <w:noProof w:val="0"/>
                <w:sz w:val="26"/>
                <w:szCs w:val="26"/>
              </w:rPr>
              <w:t>XXX</w:t>
            </w:r>
            <w:r w:rsidRPr="00F414FC">
              <w:rPr>
                <w:rFonts w:hint="cs"/>
                <w:b/>
                <w:bCs/>
                <w:noProof w:val="0"/>
                <w:sz w:val="26"/>
                <w:szCs w:val="26"/>
                <w:rtl/>
              </w:rPr>
              <w:t xml:space="preserve"> (קטין) </w:t>
            </w:r>
            <w:r w:rsidRPr="00F414FC">
              <w:rPr>
                <w:rFonts w:hint="eastAsia"/>
                <w:b/>
                <w:bCs/>
                <w:noProof w:val="0"/>
                <w:sz w:val="26"/>
                <w:szCs w:val="26"/>
                <w:rtl/>
              </w:rPr>
              <w:t>ת"ז</w:t>
            </w:r>
            <w:r w:rsidR="00010184">
              <w:rPr>
                <w:rFonts w:hint="cs"/>
                <w:b/>
                <w:bCs/>
                <w:noProof w:val="0"/>
                <w:sz w:val="26"/>
                <w:szCs w:val="26"/>
                <w:rtl/>
              </w:rPr>
              <w:t xml:space="preserve"> </w:t>
            </w:r>
            <w:r w:rsidR="00010184">
              <w:rPr>
                <w:rFonts w:hint="cs"/>
                <w:b/>
                <w:bCs/>
                <w:noProof w:val="0"/>
                <w:sz w:val="26"/>
                <w:szCs w:val="26"/>
              </w:rPr>
              <w:t>XXX</w:t>
            </w:r>
            <w:r w:rsidRPr="00F414FC">
              <w:rPr>
                <w:rFonts w:hint="cs"/>
                <w:b/>
                <w:bCs/>
                <w:sz w:val="26"/>
                <w:szCs w:val="26"/>
                <w:rtl/>
              </w:rPr>
              <w:t xml:space="preserve"> </w:t>
            </w:r>
          </w:p>
          <w:p w:rsidR="00382EF1" w:rsidRPr="00F414FC" w:rsidRDefault="00382EF1" w:rsidP="006362F6">
            <w:pPr>
              <w:rPr>
                <w:rFonts w:ascii="Arial (W1)" w:hAnsi="Arial (W1)"/>
                <w:b/>
                <w:bCs/>
                <w:noProof w:val="0"/>
                <w:sz w:val="26"/>
                <w:szCs w:val="26"/>
              </w:rPr>
            </w:pPr>
            <w:r w:rsidRPr="00F414FC">
              <w:rPr>
                <w:rFonts w:ascii="Arial (W1)" w:hAnsi="Arial (W1)" w:hint="cs"/>
                <w:b/>
                <w:bCs/>
                <w:sz w:val="26"/>
                <w:szCs w:val="26"/>
                <w:rtl/>
              </w:rPr>
              <w:t>כולם ע"י ב"כ עו"ד איגור גלידר</w:t>
            </w:r>
          </w:p>
        </w:tc>
      </w:tr>
    </w:tbl>
    <w:p w:rsidR="00382EF1" w:rsidRDefault="00382EF1" w:rsidP="00382EF1">
      <w:pPr>
        <w:suppressLineNumbers/>
        <w:rPr>
          <w:rtl/>
        </w:rPr>
      </w:pPr>
    </w:p>
    <w:p w:rsidR="00382EF1" w:rsidRDefault="00382EF1" w:rsidP="00382EF1">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82EF1" w:rsidTr="006362F6">
        <w:trPr>
          <w:jc w:val="center"/>
        </w:trPr>
        <w:tc>
          <w:tcPr>
            <w:tcW w:w="8820" w:type="dxa"/>
          </w:tcPr>
          <w:p w:rsidR="00382EF1" w:rsidRPr="00F414FC" w:rsidRDefault="00382EF1" w:rsidP="006362F6">
            <w:pPr>
              <w:bidi w:val="0"/>
              <w:jc w:val="center"/>
              <w:rPr>
                <w:rFonts w:ascii="Arial" w:hAnsi="Arial"/>
                <w:b/>
                <w:bCs/>
                <w:noProof w:val="0"/>
                <w:sz w:val="32"/>
                <w:szCs w:val="32"/>
                <w:u w:val="single"/>
              </w:rPr>
            </w:pPr>
            <w:r w:rsidRPr="00F414FC">
              <w:rPr>
                <w:rFonts w:ascii="Arial" w:hAnsi="Arial"/>
                <w:b/>
                <w:bCs/>
                <w:noProof w:val="0"/>
                <w:sz w:val="32"/>
                <w:szCs w:val="32"/>
                <w:u w:val="single"/>
                <w:rtl/>
              </w:rPr>
              <w:t>פסק דין</w:t>
            </w:r>
          </w:p>
        </w:tc>
      </w:tr>
    </w:tbl>
    <w:p w:rsidR="00382EF1" w:rsidRDefault="00382EF1" w:rsidP="00382EF1">
      <w:pPr>
        <w:spacing w:line="360" w:lineRule="auto"/>
        <w:jc w:val="both"/>
        <w:rPr>
          <w:rFonts w:ascii="David" w:hAnsi="David"/>
          <w:noProof w:val="0"/>
        </w:rPr>
      </w:pPr>
    </w:p>
    <w:p w:rsidR="002B3668" w:rsidRPr="006129EF" w:rsidRDefault="002B3668" w:rsidP="002B3668">
      <w:pPr>
        <w:spacing w:line="360" w:lineRule="auto"/>
        <w:ind w:left="-142"/>
        <w:jc w:val="both"/>
        <w:rPr>
          <w:rFonts w:ascii="David" w:hAnsi="David"/>
          <w:b/>
          <w:bCs/>
          <w:u w:val="single"/>
          <w:rtl/>
        </w:rPr>
      </w:pPr>
      <w:r w:rsidRPr="006129EF">
        <w:rPr>
          <w:rFonts w:ascii="David" w:hAnsi="David"/>
          <w:b/>
          <w:bCs/>
          <w:u w:val="single"/>
          <w:rtl/>
        </w:rPr>
        <w:t>מבוא:</w:t>
      </w:r>
    </w:p>
    <w:p w:rsidR="002B3668" w:rsidRPr="006129EF" w:rsidRDefault="002B3668" w:rsidP="002B3668">
      <w:pPr>
        <w:spacing w:line="360" w:lineRule="auto"/>
        <w:ind w:left="-142"/>
        <w:jc w:val="both"/>
        <w:rPr>
          <w:rFonts w:ascii="David" w:hAnsi="David"/>
          <w:rtl/>
        </w:rPr>
      </w:pPr>
      <w:r w:rsidRPr="006129EF">
        <w:rPr>
          <w:rFonts w:ascii="David" w:hAnsi="David"/>
          <w:rtl/>
        </w:rPr>
        <w:t>בפניי תביעה למתן סעד הצהרתי לשינוי פרטים במרשם האוכלוסין, אשר הוגשה על ידי מדינת ישראל- משרד הפנים- רשות האוכלוסין וההגירה (להלן: "</w:t>
      </w:r>
      <w:r w:rsidRPr="006129EF">
        <w:rPr>
          <w:rFonts w:ascii="David" w:hAnsi="David"/>
          <w:b/>
          <w:bCs/>
          <w:rtl/>
        </w:rPr>
        <w:t>המבקשת</w:t>
      </w:r>
      <w:r w:rsidRPr="006129EF">
        <w:rPr>
          <w:rFonts w:ascii="David" w:hAnsi="David"/>
          <w:rtl/>
        </w:rPr>
        <w:t xml:space="preserve">") כנגד הגב' </w:t>
      </w:r>
      <w:r>
        <w:rPr>
          <w:rFonts w:ascii="David" w:hAnsi="David" w:hint="cs"/>
        </w:rPr>
        <w:t>XXX</w:t>
      </w:r>
      <w:r>
        <w:rPr>
          <w:rFonts w:ascii="David" w:hAnsi="David" w:hint="cs"/>
          <w:rtl/>
        </w:rPr>
        <w:t xml:space="preserve"> </w:t>
      </w:r>
      <w:r w:rsidRPr="006129EF">
        <w:rPr>
          <w:rFonts w:ascii="David" w:hAnsi="David"/>
          <w:rtl/>
        </w:rPr>
        <w:t>(להלן: "</w:t>
      </w:r>
      <w:r>
        <w:rPr>
          <w:rFonts w:ascii="David" w:hAnsi="David" w:hint="cs"/>
          <w:b/>
          <w:bCs/>
          <w:rtl/>
        </w:rPr>
        <w:t>פלונית</w:t>
      </w:r>
      <w:r w:rsidRPr="006129EF">
        <w:rPr>
          <w:rFonts w:ascii="David" w:hAnsi="David"/>
          <w:rtl/>
        </w:rPr>
        <w:t>")</w:t>
      </w:r>
      <w:r>
        <w:rPr>
          <w:rFonts w:ascii="David" w:hAnsi="David" w:hint="cs"/>
          <w:rtl/>
        </w:rPr>
        <w:t>,</w:t>
      </w:r>
      <w:r w:rsidRPr="006129EF">
        <w:rPr>
          <w:rFonts w:ascii="David" w:hAnsi="David"/>
          <w:rtl/>
        </w:rPr>
        <w:t xml:space="preserve"> בתה הגב' </w:t>
      </w:r>
      <w:r>
        <w:rPr>
          <w:rFonts w:ascii="David" w:hAnsi="David" w:hint="cs"/>
        </w:rPr>
        <w:t>XXX</w:t>
      </w:r>
      <w:r w:rsidRPr="006129EF">
        <w:rPr>
          <w:rFonts w:ascii="David" w:hAnsi="David"/>
          <w:rtl/>
        </w:rPr>
        <w:t xml:space="preserve"> (להלן: "</w:t>
      </w:r>
      <w:r>
        <w:rPr>
          <w:rFonts w:ascii="David" w:hAnsi="David" w:hint="cs"/>
          <w:b/>
          <w:bCs/>
          <w:rtl/>
        </w:rPr>
        <w:t>אלמונית</w:t>
      </w:r>
      <w:r w:rsidRPr="006129EF">
        <w:rPr>
          <w:rFonts w:ascii="David" w:hAnsi="David"/>
          <w:rtl/>
        </w:rPr>
        <w:t xml:space="preserve">") וילדיה של </w:t>
      </w:r>
      <w:r>
        <w:rPr>
          <w:rFonts w:ascii="David" w:hAnsi="David" w:hint="cs"/>
          <w:rtl/>
        </w:rPr>
        <w:t>אלמונית</w:t>
      </w:r>
      <w:r w:rsidRPr="006129EF">
        <w:rPr>
          <w:rFonts w:ascii="David" w:hAnsi="David"/>
          <w:rtl/>
        </w:rPr>
        <w:t xml:space="preserve">: </w:t>
      </w:r>
      <w:r>
        <w:rPr>
          <w:rFonts w:ascii="David" w:hAnsi="David" w:hint="cs"/>
        </w:rPr>
        <w:t>XXX</w:t>
      </w:r>
      <w:r w:rsidRPr="006129EF">
        <w:rPr>
          <w:rFonts w:ascii="David" w:hAnsi="David"/>
          <w:rtl/>
        </w:rPr>
        <w:t xml:space="preserve">, </w:t>
      </w:r>
      <w:r>
        <w:rPr>
          <w:rFonts w:ascii="David" w:hAnsi="David" w:hint="cs"/>
        </w:rPr>
        <w:t>XXX</w:t>
      </w:r>
      <w:r w:rsidRPr="006129EF">
        <w:rPr>
          <w:rFonts w:ascii="David" w:hAnsi="David"/>
          <w:rtl/>
        </w:rPr>
        <w:t xml:space="preserve">, </w:t>
      </w:r>
      <w:r>
        <w:rPr>
          <w:rFonts w:ascii="David" w:hAnsi="David" w:hint="cs"/>
        </w:rPr>
        <w:t>XXX</w:t>
      </w:r>
      <w:r w:rsidRPr="006129EF">
        <w:rPr>
          <w:rFonts w:ascii="David" w:hAnsi="David"/>
          <w:rtl/>
        </w:rPr>
        <w:t xml:space="preserve"> ו</w:t>
      </w:r>
      <w:r>
        <w:rPr>
          <w:rFonts w:ascii="David" w:hAnsi="David" w:hint="cs"/>
        </w:rPr>
        <w:t>XXX</w:t>
      </w:r>
      <w:r w:rsidRPr="006129EF">
        <w:rPr>
          <w:rFonts w:ascii="David" w:hAnsi="David"/>
          <w:rtl/>
        </w:rPr>
        <w:t xml:space="preserve"> (להלן ייקרא</w:t>
      </w:r>
      <w:r>
        <w:rPr>
          <w:rFonts w:ascii="David" w:hAnsi="David" w:hint="cs"/>
          <w:rtl/>
        </w:rPr>
        <w:t xml:space="preserve">ו </w:t>
      </w:r>
      <w:r w:rsidRPr="006129EF">
        <w:rPr>
          <w:rFonts w:ascii="David" w:hAnsi="David"/>
          <w:rtl/>
        </w:rPr>
        <w:t>ביחד: "</w:t>
      </w:r>
      <w:r w:rsidRPr="006129EF">
        <w:rPr>
          <w:rFonts w:ascii="David" w:hAnsi="David"/>
          <w:b/>
          <w:bCs/>
          <w:rtl/>
        </w:rPr>
        <w:t>הנכדים</w:t>
      </w:r>
      <w:r w:rsidRPr="006129EF">
        <w:rPr>
          <w:rFonts w:ascii="David" w:hAnsi="David"/>
          <w:rtl/>
        </w:rPr>
        <w:t xml:space="preserve">"). </w:t>
      </w:r>
      <w:r>
        <w:rPr>
          <w:rFonts w:ascii="David" w:hAnsi="David" w:hint="cs"/>
          <w:rtl/>
        </w:rPr>
        <w:t>פלונית</w:t>
      </w:r>
      <w:r w:rsidRPr="006129EF">
        <w:rPr>
          <w:rFonts w:ascii="David" w:hAnsi="David"/>
          <w:rtl/>
        </w:rPr>
        <w:t xml:space="preserve">, </w:t>
      </w:r>
      <w:r>
        <w:rPr>
          <w:rFonts w:ascii="David" w:hAnsi="David" w:hint="cs"/>
          <w:rtl/>
        </w:rPr>
        <w:t>אלמונית</w:t>
      </w:r>
      <w:r w:rsidRPr="006129EF">
        <w:rPr>
          <w:rFonts w:ascii="David" w:hAnsi="David"/>
          <w:rtl/>
        </w:rPr>
        <w:t xml:space="preserve"> והנכדים ייקראו כולם ביחד להלן: "</w:t>
      </w:r>
      <w:r w:rsidRPr="006129EF">
        <w:rPr>
          <w:rFonts w:ascii="David" w:hAnsi="David"/>
          <w:b/>
          <w:bCs/>
          <w:rtl/>
        </w:rPr>
        <w:t>המשיבים</w:t>
      </w:r>
      <w:r w:rsidRPr="006129EF">
        <w:rPr>
          <w:rFonts w:ascii="David" w:hAnsi="David"/>
          <w:rtl/>
        </w:rPr>
        <w:t>".</w:t>
      </w:r>
    </w:p>
    <w:p w:rsidR="002B3668" w:rsidRPr="006129EF" w:rsidRDefault="002B3668" w:rsidP="002B3668">
      <w:pPr>
        <w:spacing w:line="360" w:lineRule="auto"/>
        <w:ind w:left="-142"/>
        <w:jc w:val="both"/>
        <w:rPr>
          <w:rFonts w:ascii="David" w:hAnsi="David"/>
          <w:rtl/>
        </w:rPr>
      </w:pPr>
    </w:p>
    <w:p w:rsidR="002B3668" w:rsidRPr="006129EF" w:rsidRDefault="002B3668" w:rsidP="002B3668">
      <w:pPr>
        <w:spacing w:line="360" w:lineRule="auto"/>
        <w:ind w:left="-142"/>
        <w:jc w:val="both"/>
        <w:rPr>
          <w:rFonts w:ascii="David" w:hAnsi="David"/>
          <w:b/>
          <w:bCs/>
          <w:u w:val="single"/>
          <w:rtl/>
        </w:rPr>
      </w:pPr>
      <w:r w:rsidRPr="006129EF">
        <w:rPr>
          <w:rFonts w:ascii="David" w:hAnsi="David"/>
          <w:b/>
          <w:bCs/>
          <w:u w:val="single"/>
          <w:rtl/>
        </w:rPr>
        <w:t>רקע עובדתי בקצרה וסקירה דיונית של ההליך שבפניי:</w:t>
      </w:r>
    </w:p>
    <w:p w:rsidR="002B3668" w:rsidRPr="006129EF" w:rsidRDefault="002B3668" w:rsidP="002B3668">
      <w:pPr>
        <w:spacing w:line="360" w:lineRule="auto"/>
        <w:ind w:left="-142"/>
        <w:jc w:val="both"/>
        <w:rPr>
          <w:rFonts w:ascii="David" w:hAnsi="David"/>
          <w:rtl/>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tl/>
        </w:rPr>
      </w:pPr>
      <w:r>
        <w:rPr>
          <w:rFonts w:ascii="David" w:hAnsi="David" w:cs="David" w:hint="cs"/>
          <w:sz w:val="24"/>
          <w:szCs w:val="24"/>
          <w:rtl/>
        </w:rPr>
        <w:t>פלונית</w:t>
      </w:r>
      <w:r w:rsidRPr="006129EF">
        <w:rPr>
          <w:rFonts w:ascii="David" w:hAnsi="David" w:cs="David"/>
          <w:sz w:val="24"/>
          <w:szCs w:val="24"/>
          <w:rtl/>
        </w:rPr>
        <w:t xml:space="preserve">, ילידת 1951, נישאה למר </w:t>
      </w:r>
      <w:r>
        <w:rPr>
          <w:rFonts w:ascii="David" w:hAnsi="David" w:cs="David" w:hint="cs"/>
          <w:sz w:val="24"/>
          <w:szCs w:val="24"/>
        </w:rPr>
        <w:t>XXX</w:t>
      </w:r>
      <w:r w:rsidRPr="006129EF">
        <w:rPr>
          <w:rFonts w:ascii="David" w:hAnsi="David" w:cs="David"/>
          <w:sz w:val="24"/>
          <w:szCs w:val="24"/>
          <w:rtl/>
        </w:rPr>
        <w:t xml:space="preserve"> (להלן: "</w:t>
      </w:r>
      <w:r w:rsidRPr="00CB18DC">
        <w:rPr>
          <w:rFonts w:ascii="David" w:hAnsi="David" w:cs="David" w:hint="cs"/>
          <w:b/>
          <w:bCs/>
          <w:sz w:val="24"/>
          <w:szCs w:val="24"/>
          <w:rtl/>
        </w:rPr>
        <w:t>האב</w:t>
      </w:r>
      <w:r w:rsidRPr="006129EF">
        <w:rPr>
          <w:rFonts w:ascii="David" w:hAnsi="David" w:cs="David"/>
          <w:sz w:val="24"/>
          <w:szCs w:val="24"/>
          <w:rtl/>
        </w:rPr>
        <w:t xml:space="preserve">"), ולשניים נולדו שתי בנות: </w:t>
      </w:r>
      <w:r>
        <w:rPr>
          <w:rFonts w:ascii="David" w:hAnsi="David" w:cs="David" w:hint="cs"/>
          <w:sz w:val="24"/>
          <w:szCs w:val="24"/>
          <w:rtl/>
        </w:rPr>
        <w:t>אלמונית</w:t>
      </w:r>
      <w:r w:rsidRPr="006129EF">
        <w:rPr>
          <w:rFonts w:ascii="David" w:hAnsi="David" w:cs="David"/>
          <w:sz w:val="24"/>
          <w:szCs w:val="24"/>
          <w:rtl/>
        </w:rPr>
        <w:t xml:space="preserve"> ילידת </w:t>
      </w:r>
      <w:r>
        <w:rPr>
          <w:rFonts w:ascii="David" w:hAnsi="David" w:cs="David" w:hint="cs"/>
          <w:sz w:val="24"/>
          <w:szCs w:val="24"/>
          <w:rtl/>
        </w:rPr>
        <w:t>1974,</w:t>
      </w:r>
      <w:r w:rsidRPr="006129EF">
        <w:rPr>
          <w:rFonts w:ascii="David" w:hAnsi="David" w:cs="David"/>
          <w:sz w:val="24"/>
          <w:szCs w:val="24"/>
          <w:rtl/>
        </w:rPr>
        <w:t xml:space="preserve"> ו</w:t>
      </w:r>
      <w:r>
        <w:rPr>
          <w:rFonts w:ascii="David" w:hAnsi="David" w:cs="David" w:hint="cs"/>
          <w:sz w:val="24"/>
          <w:szCs w:val="24"/>
        </w:rPr>
        <w:t>XXX</w:t>
      </w:r>
      <w:r w:rsidRPr="006129EF">
        <w:rPr>
          <w:rFonts w:ascii="David" w:hAnsi="David" w:cs="David"/>
          <w:sz w:val="24"/>
          <w:szCs w:val="24"/>
          <w:rtl/>
        </w:rPr>
        <w:t xml:space="preserve"> ילידת</w:t>
      </w:r>
      <w:r>
        <w:rPr>
          <w:rFonts w:ascii="David" w:hAnsi="David" w:cs="David" w:hint="cs"/>
          <w:sz w:val="24"/>
          <w:szCs w:val="24"/>
          <w:rtl/>
        </w:rPr>
        <w:t xml:space="preserve"> 1978</w:t>
      </w:r>
      <w:r w:rsidRPr="006129EF">
        <w:rPr>
          <w:rFonts w:ascii="David" w:hAnsi="David" w:cs="David"/>
          <w:sz w:val="24"/>
          <w:szCs w:val="24"/>
          <w:rtl/>
        </w:rPr>
        <w:t xml:space="preserve"> (להלן: "</w:t>
      </w:r>
      <w:r w:rsidRPr="00CB18DC">
        <w:rPr>
          <w:rFonts w:ascii="David" w:hAnsi="David" w:cs="David" w:hint="cs"/>
          <w:b/>
          <w:bCs/>
          <w:sz w:val="24"/>
          <w:szCs w:val="24"/>
          <w:rtl/>
        </w:rPr>
        <w:t>הבת ה</w:t>
      </w:r>
      <w:r>
        <w:rPr>
          <w:rFonts w:ascii="David" w:hAnsi="David" w:cs="David" w:hint="cs"/>
          <w:b/>
          <w:bCs/>
          <w:sz w:val="24"/>
          <w:szCs w:val="24"/>
          <w:rtl/>
        </w:rPr>
        <w:t>נוספת</w:t>
      </w:r>
      <w:r w:rsidRPr="006129EF">
        <w:rPr>
          <w:rFonts w:ascii="David" w:hAnsi="David" w:cs="David"/>
          <w:sz w:val="24"/>
          <w:szCs w:val="24"/>
          <w:rtl/>
        </w:rPr>
        <w:t xml:space="preserve">"). </w:t>
      </w:r>
      <w:r>
        <w:rPr>
          <w:rFonts w:ascii="David" w:hAnsi="David" w:cs="David" w:hint="cs"/>
          <w:sz w:val="24"/>
          <w:szCs w:val="24"/>
          <w:rtl/>
        </w:rPr>
        <w:t>פלונית והאב</w:t>
      </w:r>
      <w:r w:rsidRPr="006129EF">
        <w:rPr>
          <w:rFonts w:ascii="David" w:hAnsi="David" w:cs="David"/>
          <w:sz w:val="24"/>
          <w:szCs w:val="24"/>
          <w:rtl/>
        </w:rPr>
        <w:t xml:space="preserve"> ושתי הבנות עלו לארץ ביום 15.9.90. </w:t>
      </w:r>
      <w:r>
        <w:rPr>
          <w:rFonts w:ascii="David" w:hAnsi="David" w:cs="David" w:hint="cs"/>
          <w:sz w:val="24"/>
          <w:szCs w:val="24"/>
          <w:rtl/>
        </w:rPr>
        <w:t>אלמונית</w:t>
      </w:r>
      <w:r w:rsidRPr="006129EF">
        <w:rPr>
          <w:rFonts w:ascii="David" w:hAnsi="David" w:cs="David"/>
          <w:sz w:val="24"/>
          <w:szCs w:val="24"/>
          <w:rtl/>
        </w:rPr>
        <w:t xml:space="preserve"> נישאה למר </w:t>
      </w:r>
      <w:r>
        <w:rPr>
          <w:rFonts w:ascii="David" w:hAnsi="David" w:cs="David" w:hint="cs"/>
          <w:sz w:val="24"/>
          <w:szCs w:val="24"/>
        </w:rPr>
        <w:t>XXX</w:t>
      </w:r>
      <w:r w:rsidRPr="006129EF">
        <w:rPr>
          <w:rFonts w:ascii="David" w:hAnsi="David" w:cs="David"/>
          <w:sz w:val="24"/>
          <w:szCs w:val="24"/>
          <w:rtl/>
        </w:rPr>
        <w:t xml:space="preserve"> ונולדו להם 4 ילדים, הם הנכדים. </w:t>
      </w:r>
      <w:r>
        <w:rPr>
          <w:rFonts w:ascii="David" w:hAnsi="David" w:cs="David" w:hint="cs"/>
          <w:sz w:val="24"/>
          <w:szCs w:val="24"/>
          <w:rtl/>
        </w:rPr>
        <w:t>הבת הנוספת</w:t>
      </w:r>
      <w:r w:rsidRPr="006129EF">
        <w:rPr>
          <w:rFonts w:ascii="David" w:hAnsi="David" w:cs="David"/>
          <w:sz w:val="24"/>
          <w:szCs w:val="24"/>
          <w:rtl/>
        </w:rPr>
        <w:t xml:space="preserve"> נישאה למר </w:t>
      </w:r>
      <w:r>
        <w:rPr>
          <w:rFonts w:ascii="David" w:hAnsi="David" w:cs="David" w:hint="cs"/>
          <w:sz w:val="24"/>
          <w:szCs w:val="24"/>
        </w:rPr>
        <w:t>XXX</w:t>
      </w:r>
      <w:r w:rsidRPr="006129EF">
        <w:rPr>
          <w:rFonts w:ascii="David" w:hAnsi="David" w:cs="David"/>
          <w:sz w:val="24"/>
          <w:szCs w:val="24"/>
          <w:rtl/>
        </w:rPr>
        <w:t xml:space="preserve"> ונולדו להן שתי בנות: </w:t>
      </w:r>
      <w:r>
        <w:rPr>
          <w:rFonts w:ascii="David" w:hAnsi="David" w:cs="David" w:hint="cs"/>
          <w:sz w:val="24"/>
          <w:szCs w:val="24"/>
        </w:rPr>
        <w:t>XXX</w:t>
      </w:r>
      <w:r w:rsidRPr="006129EF">
        <w:rPr>
          <w:rFonts w:ascii="David" w:hAnsi="David" w:cs="David"/>
          <w:sz w:val="24"/>
          <w:szCs w:val="24"/>
          <w:rtl/>
        </w:rPr>
        <w:t xml:space="preserve"> ו</w:t>
      </w:r>
      <w:r>
        <w:rPr>
          <w:rFonts w:ascii="David" w:hAnsi="David" w:cs="David" w:hint="cs"/>
          <w:sz w:val="24"/>
          <w:szCs w:val="24"/>
        </w:rPr>
        <w:t>XXX</w:t>
      </w:r>
      <w:r w:rsidRPr="006129EF">
        <w:rPr>
          <w:rFonts w:ascii="David" w:hAnsi="David" w:cs="David"/>
          <w:sz w:val="24"/>
          <w:szCs w:val="24"/>
          <w:rtl/>
        </w:rPr>
        <w:t>.</w:t>
      </w:r>
    </w:p>
    <w:p w:rsidR="002B3668" w:rsidRPr="006129EF" w:rsidRDefault="002B3668" w:rsidP="002B3668">
      <w:pPr>
        <w:pStyle w:val="a9"/>
        <w:spacing w:after="0" w:line="360" w:lineRule="auto"/>
        <w:ind w:left="368"/>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 xml:space="preserve">ביום 15.9.90 </w:t>
      </w:r>
      <w:r>
        <w:rPr>
          <w:rFonts w:ascii="David" w:hAnsi="David" w:cs="David" w:hint="cs"/>
          <w:sz w:val="24"/>
          <w:szCs w:val="24"/>
          <w:rtl/>
        </w:rPr>
        <w:t>האב</w:t>
      </w:r>
      <w:r w:rsidRPr="006129EF">
        <w:rPr>
          <w:rFonts w:ascii="David" w:hAnsi="David" w:cs="David"/>
          <w:sz w:val="24"/>
          <w:szCs w:val="24"/>
          <w:rtl/>
        </w:rPr>
        <w:t>,</w:t>
      </w:r>
      <w:r>
        <w:rPr>
          <w:rFonts w:ascii="David" w:hAnsi="David" w:cs="David" w:hint="cs"/>
          <w:sz w:val="24"/>
          <w:szCs w:val="24"/>
          <w:rtl/>
        </w:rPr>
        <w:t xml:space="preserve"> פלונית</w:t>
      </w:r>
      <w:r w:rsidRPr="006129EF">
        <w:rPr>
          <w:rFonts w:ascii="David" w:hAnsi="David" w:cs="David"/>
          <w:sz w:val="24"/>
          <w:szCs w:val="24"/>
          <w:rtl/>
        </w:rPr>
        <w:t xml:space="preserve">, </w:t>
      </w:r>
      <w:r>
        <w:rPr>
          <w:rFonts w:ascii="David" w:hAnsi="David" w:cs="David" w:hint="cs"/>
          <w:sz w:val="24"/>
          <w:szCs w:val="24"/>
          <w:rtl/>
        </w:rPr>
        <w:t>אלמונית</w:t>
      </w:r>
      <w:r w:rsidRPr="006129EF">
        <w:rPr>
          <w:rFonts w:ascii="David" w:hAnsi="David" w:cs="David"/>
          <w:sz w:val="24"/>
          <w:szCs w:val="24"/>
          <w:rtl/>
        </w:rPr>
        <w:t xml:space="preserve"> ו</w:t>
      </w:r>
      <w:r>
        <w:rPr>
          <w:rFonts w:ascii="David" w:hAnsi="David" w:cs="David" w:hint="cs"/>
          <w:sz w:val="24"/>
          <w:szCs w:val="24"/>
          <w:rtl/>
        </w:rPr>
        <w:t xml:space="preserve">הבת הנוספת </w:t>
      </w:r>
      <w:r w:rsidRPr="006129EF">
        <w:rPr>
          <w:rFonts w:ascii="David" w:hAnsi="David" w:cs="David"/>
          <w:sz w:val="24"/>
          <w:szCs w:val="24"/>
          <w:rtl/>
        </w:rPr>
        <w:t>עלו לאר</w:t>
      </w:r>
      <w:r>
        <w:rPr>
          <w:rFonts w:ascii="David" w:hAnsi="David" w:cs="David"/>
          <w:sz w:val="24"/>
          <w:szCs w:val="24"/>
          <w:rtl/>
        </w:rPr>
        <w:t xml:space="preserve">ץ מברית המועצות מכוח זכאותו של </w:t>
      </w:r>
      <w:r>
        <w:rPr>
          <w:rFonts w:ascii="David" w:hAnsi="David" w:cs="David" w:hint="cs"/>
          <w:sz w:val="24"/>
          <w:szCs w:val="24"/>
          <w:rtl/>
        </w:rPr>
        <w:t>האב</w:t>
      </w:r>
      <w:r w:rsidRPr="006129EF">
        <w:rPr>
          <w:rFonts w:ascii="David" w:hAnsi="David" w:cs="David"/>
          <w:sz w:val="24"/>
          <w:szCs w:val="24"/>
          <w:rtl/>
        </w:rPr>
        <w:t xml:space="preserve"> שהינו יהודי (סעיף 7 לסיכומי המבקשת). </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tl/>
        </w:rPr>
      </w:pPr>
      <w:r w:rsidRPr="006129EF">
        <w:rPr>
          <w:rFonts w:ascii="David" w:hAnsi="David" w:cs="David"/>
          <w:sz w:val="24"/>
          <w:szCs w:val="24"/>
          <w:rtl/>
        </w:rPr>
        <w:t>ביום 2.1.91 ניתן פסק דין לאישור יהדות ל</w:t>
      </w:r>
      <w:r>
        <w:rPr>
          <w:rFonts w:ascii="David" w:hAnsi="David" w:cs="David" w:hint="cs"/>
          <w:sz w:val="24"/>
          <w:szCs w:val="24"/>
          <w:rtl/>
        </w:rPr>
        <w:t xml:space="preserve">פלונית </w:t>
      </w:r>
      <w:r w:rsidRPr="006129EF">
        <w:rPr>
          <w:rFonts w:ascii="David" w:hAnsi="David" w:cs="David"/>
          <w:sz w:val="24"/>
          <w:szCs w:val="24"/>
          <w:rtl/>
        </w:rPr>
        <w:t>ו</w:t>
      </w:r>
      <w:r>
        <w:rPr>
          <w:rFonts w:ascii="David" w:hAnsi="David" w:cs="David" w:hint="cs"/>
          <w:sz w:val="24"/>
          <w:szCs w:val="24"/>
          <w:rtl/>
        </w:rPr>
        <w:t xml:space="preserve">האב </w:t>
      </w:r>
      <w:r w:rsidRPr="006129EF">
        <w:rPr>
          <w:rFonts w:ascii="David" w:hAnsi="David" w:cs="David"/>
          <w:sz w:val="24"/>
          <w:szCs w:val="24"/>
          <w:rtl/>
        </w:rPr>
        <w:t>(להלן: "</w:t>
      </w:r>
      <w:r w:rsidRPr="006129EF">
        <w:rPr>
          <w:rFonts w:ascii="David" w:hAnsi="David" w:cs="David"/>
          <w:b/>
          <w:bCs/>
          <w:sz w:val="24"/>
          <w:szCs w:val="24"/>
          <w:rtl/>
        </w:rPr>
        <w:t>פסק הדין מיום 2.1.91</w:t>
      </w:r>
      <w:r w:rsidRPr="006129EF">
        <w:rPr>
          <w:rFonts w:ascii="David" w:hAnsi="David" w:cs="David"/>
          <w:sz w:val="24"/>
          <w:szCs w:val="24"/>
          <w:rtl/>
        </w:rPr>
        <w:t>") לבקשתם, מפי כב' בית הדין הרבני האזורי ב</w:t>
      </w:r>
      <w:r>
        <w:rPr>
          <w:rFonts w:ascii="David" w:hAnsi="David" w:cs="David" w:hint="cs"/>
          <w:sz w:val="24"/>
          <w:szCs w:val="24"/>
        </w:rPr>
        <w:t>XXX</w:t>
      </w:r>
      <w:r w:rsidRPr="006129EF">
        <w:rPr>
          <w:rFonts w:ascii="David" w:hAnsi="David" w:cs="David"/>
          <w:sz w:val="24"/>
          <w:szCs w:val="24"/>
          <w:rtl/>
        </w:rPr>
        <w:t xml:space="preserve"> (להלן: "</w:t>
      </w:r>
      <w:r w:rsidRPr="006129EF">
        <w:rPr>
          <w:rFonts w:ascii="David" w:hAnsi="David" w:cs="David"/>
          <w:b/>
          <w:bCs/>
          <w:sz w:val="24"/>
          <w:szCs w:val="24"/>
          <w:rtl/>
        </w:rPr>
        <w:t>ביה"ד הרבני</w:t>
      </w:r>
      <w:r w:rsidRPr="006129EF">
        <w:rPr>
          <w:rFonts w:ascii="David" w:hAnsi="David" w:cs="David"/>
          <w:sz w:val="24"/>
          <w:szCs w:val="24"/>
          <w:rtl/>
        </w:rPr>
        <w:t>"). אתייחס לתוכנו בהמשך פסק הדין להלן.</w:t>
      </w:r>
    </w:p>
    <w:p w:rsidR="002B3668" w:rsidRPr="006129EF" w:rsidRDefault="002B3668" w:rsidP="002B3668">
      <w:pPr>
        <w:pStyle w:val="a9"/>
        <w:spacing w:after="0" w:line="360" w:lineRule="auto"/>
        <w:jc w:val="both"/>
        <w:rPr>
          <w:rFonts w:ascii="David"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tl/>
        </w:rPr>
      </w:pPr>
      <w:r w:rsidRPr="006129EF">
        <w:rPr>
          <w:rFonts w:ascii="David" w:hAnsi="David" w:cs="David"/>
          <w:sz w:val="24"/>
          <w:szCs w:val="24"/>
          <w:rtl/>
        </w:rPr>
        <w:lastRenderedPageBreak/>
        <w:t xml:space="preserve">על סמך פסק הדין מיום 2.1.91 </w:t>
      </w:r>
      <w:r>
        <w:rPr>
          <w:rFonts w:ascii="David" w:hAnsi="David" w:cs="David" w:hint="cs"/>
          <w:sz w:val="24"/>
          <w:szCs w:val="24"/>
          <w:rtl/>
        </w:rPr>
        <w:t>פלונית</w:t>
      </w:r>
      <w:r w:rsidRPr="006129EF">
        <w:rPr>
          <w:rFonts w:ascii="David" w:hAnsi="David" w:cs="David"/>
          <w:sz w:val="24"/>
          <w:szCs w:val="24"/>
          <w:rtl/>
        </w:rPr>
        <w:t xml:space="preserve"> פנתה לרשות האוכלוסין וביקשה לרשום אותה ואת בנותיה כיהודיות והן אכן נרשמו כיהודיות (ראו: סעיף 19 לסיכומי המבקשת).</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tl/>
        </w:rPr>
      </w:pPr>
      <w:r w:rsidRPr="006129EF">
        <w:rPr>
          <w:rFonts w:ascii="David" w:hAnsi="David" w:cs="David"/>
          <w:sz w:val="24"/>
          <w:szCs w:val="24"/>
          <w:rtl/>
        </w:rPr>
        <w:t>הבקשה נשוא פסק דין זה הוגשה ביום 9.2.21 (להלן: "</w:t>
      </w:r>
      <w:r w:rsidRPr="006129EF">
        <w:rPr>
          <w:rFonts w:ascii="David" w:hAnsi="David" w:cs="David"/>
          <w:b/>
          <w:bCs/>
          <w:sz w:val="24"/>
          <w:szCs w:val="24"/>
          <w:rtl/>
        </w:rPr>
        <w:t>הבקשה</w:t>
      </w:r>
      <w:r w:rsidRPr="006129EF">
        <w:rPr>
          <w:rFonts w:ascii="David" w:hAnsi="David" w:cs="David"/>
          <w:sz w:val="24"/>
          <w:szCs w:val="24"/>
          <w:rtl/>
        </w:rPr>
        <w:t xml:space="preserve">") במסגרתה התבקש בית המשפט להורות כדלקמן: </w:t>
      </w:r>
    </w:p>
    <w:p w:rsidR="002B3668" w:rsidRPr="006129EF" w:rsidRDefault="002B3668" w:rsidP="002B3668">
      <w:pPr>
        <w:pStyle w:val="a9"/>
        <w:spacing w:after="0" w:line="360" w:lineRule="auto"/>
        <w:ind w:left="283"/>
        <w:jc w:val="both"/>
        <w:rPr>
          <w:rFonts w:ascii="David" w:hAnsi="David" w:cs="David"/>
          <w:sz w:val="24"/>
          <w:szCs w:val="24"/>
        </w:rPr>
      </w:pPr>
      <w:r w:rsidRPr="006129EF">
        <w:rPr>
          <w:rFonts w:ascii="David" w:hAnsi="David" w:cs="David"/>
          <w:noProof/>
          <w:sz w:val="24"/>
          <w:szCs w:val="24"/>
        </w:rPr>
        <w:drawing>
          <wp:inline distT="0" distB="0" distL="0" distR="0" wp14:anchorId="3FCB9832" wp14:editId="009A8A2A">
            <wp:extent cx="5210175" cy="971550"/>
            <wp:effectExtent l="0" t="0" r="9525" b="0"/>
            <wp:docPr id="28" name="תמונה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971550"/>
                    </a:xfrm>
                    <a:prstGeom prst="rect">
                      <a:avLst/>
                    </a:prstGeom>
                    <a:noFill/>
                    <a:ln>
                      <a:noFill/>
                    </a:ln>
                  </pic:spPr>
                </pic:pic>
              </a:graphicData>
            </a:graphic>
          </wp:inline>
        </w:drawing>
      </w:r>
    </w:p>
    <w:p w:rsidR="002B3668" w:rsidRPr="006129EF" w:rsidRDefault="002B3668" w:rsidP="002B3668">
      <w:pPr>
        <w:pStyle w:val="a9"/>
        <w:spacing w:after="0" w:line="360" w:lineRule="auto"/>
        <w:ind w:left="368"/>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יצוין כי המ</w:t>
      </w:r>
      <w:r>
        <w:rPr>
          <w:rFonts w:ascii="David" w:hAnsi="David" w:cs="David"/>
          <w:sz w:val="24"/>
          <w:szCs w:val="24"/>
          <w:rtl/>
        </w:rPr>
        <w:t xml:space="preserve">בקשת ציינה בסיכומיה (סעיף 31) </w:t>
      </w:r>
      <w:r>
        <w:rPr>
          <w:rFonts w:ascii="David" w:hAnsi="David" w:cs="David" w:hint="cs"/>
          <w:sz w:val="24"/>
          <w:szCs w:val="24"/>
          <w:rtl/>
        </w:rPr>
        <w:t>ש</w:t>
      </w:r>
      <w:r w:rsidRPr="006129EF">
        <w:rPr>
          <w:rFonts w:ascii="David" w:hAnsi="David" w:cs="David"/>
          <w:sz w:val="24"/>
          <w:szCs w:val="24"/>
          <w:rtl/>
        </w:rPr>
        <w:t xml:space="preserve">ילדיה של </w:t>
      </w:r>
      <w:r>
        <w:rPr>
          <w:rFonts w:ascii="David" w:hAnsi="David" w:cs="David" w:hint="cs"/>
          <w:sz w:val="24"/>
          <w:szCs w:val="24"/>
          <w:rtl/>
        </w:rPr>
        <w:t>אלמונית</w:t>
      </w:r>
      <w:r w:rsidRPr="006129EF">
        <w:rPr>
          <w:rFonts w:ascii="David" w:hAnsi="David" w:cs="David"/>
          <w:sz w:val="24"/>
          <w:szCs w:val="24"/>
          <w:rtl/>
        </w:rPr>
        <w:t xml:space="preserve"> נרשמו (עקב טעות) במרשם האוכלוסין כיהודים מלבד בנה </w:t>
      </w:r>
      <w:r>
        <w:rPr>
          <w:rFonts w:ascii="David" w:hAnsi="David" w:cs="David" w:hint="cs"/>
          <w:sz w:val="24"/>
          <w:szCs w:val="24"/>
        </w:rPr>
        <w:t>XXX</w:t>
      </w:r>
      <w:r w:rsidRPr="006129EF">
        <w:rPr>
          <w:rFonts w:ascii="David" w:hAnsi="David" w:cs="David"/>
          <w:sz w:val="24"/>
          <w:szCs w:val="24"/>
          <w:rtl/>
        </w:rPr>
        <w:t xml:space="preserve"> (שטרם בוצע רישום ראשון של דתו ולאומו).</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 xml:space="preserve">כתב תשובה מטעם המשיבים הוגש ביום 5.4.21. </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דיון בתיק התקיים ביום 14.7.21.</w:t>
      </w:r>
    </w:p>
    <w:p w:rsidR="002B3668" w:rsidRPr="006129EF" w:rsidRDefault="002B3668" w:rsidP="002B3668">
      <w:pPr>
        <w:pStyle w:val="a9"/>
        <w:spacing w:after="0" w:line="360" w:lineRule="auto"/>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tl/>
        </w:rPr>
      </w:pPr>
      <w:r w:rsidRPr="006129EF">
        <w:rPr>
          <w:rFonts w:ascii="David" w:hAnsi="David" w:cs="David"/>
          <w:sz w:val="24"/>
          <w:szCs w:val="24"/>
          <w:rtl/>
        </w:rPr>
        <w:t xml:space="preserve">עדויות ראשיות הוגשו בתצהירים: </w:t>
      </w:r>
      <w:r>
        <w:rPr>
          <w:rFonts w:ascii="David" w:hAnsi="David" w:cs="David"/>
          <w:sz w:val="24"/>
          <w:szCs w:val="24"/>
          <w:rtl/>
        </w:rPr>
        <w:t>ביום 7.11.21 הגישה המבקשת תצהיר</w:t>
      </w:r>
      <w:r w:rsidRPr="006129EF">
        <w:rPr>
          <w:rFonts w:ascii="David" w:hAnsi="David" w:cs="David"/>
          <w:sz w:val="24"/>
          <w:szCs w:val="24"/>
          <w:rtl/>
        </w:rPr>
        <w:t xml:space="preserve"> של הגב' א</w:t>
      </w:r>
      <w:r>
        <w:rPr>
          <w:rFonts w:ascii="David" w:hAnsi="David" w:cs="David" w:hint="cs"/>
          <w:sz w:val="24"/>
          <w:szCs w:val="24"/>
          <w:rtl/>
        </w:rPr>
        <w:t>'</w:t>
      </w:r>
      <w:r w:rsidRPr="006129EF">
        <w:rPr>
          <w:rFonts w:ascii="David" w:hAnsi="David" w:cs="David"/>
          <w:sz w:val="24"/>
          <w:szCs w:val="24"/>
          <w:rtl/>
        </w:rPr>
        <w:t xml:space="preserve"> א</w:t>
      </w:r>
      <w:r>
        <w:rPr>
          <w:rFonts w:ascii="David" w:hAnsi="David" w:cs="David" w:hint="cs"/>
          <w:sz w:val="24"/>
          <w:szCs w:val="24"/>
          <w:rtl/>
        </w:rPr>
        <w:t>'</w:t>
      </w:r>
      <w:r w:rsidRPr="006129EF">
        <w:rPr>
          <w:rFonts w:ascii="David" w:hAnsi="David" w:cs="David"/>
          <w:sz w:val="24"/>
          <w:szCs w:val="24"/>
          <w:rtl/>
        </w:rPr>
        <w:t xml:space="preserve">, נציגת המבקשת, מיום 9.2.21 (סומן ת/1). ביום 10.1.22 הגישו המשיבים תצהיר עדות ראשית מטעמם- תצהירה של </w:t>
      </w:r>
      <w:r>
        <w:rPr>
          <w:rFonts w:ascii="David" w:hAnsi="David" w:cs="David" w:hint="cs"/>
          <w:sz w:val="24"/>
          <w:szCs w:val="24"/>
          <w:rtl/>
        </w:rPr>
        <w:t>אלמונית</w:t>
      </w:r>
      <w:r w:rsidRPr="006129EF">
        <w:rPr>
          <w:rFonts w:ascii="David" w:hAnsi="David" w:cs="David"/>
          <w:sz w:val="24"/>
          <w:szCs w:val="24"/>
          <w:rtl/>
        </w:rPr>
        <w:t xml:space="preserve"> (סומן נ/1).</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tl/>
        </w:rPr>
      </w:pPr>
      <w:r w:rsidRPr="006129EF">
        <w:rPr>
          <w:rFonts w:ascii="David" w:hAnsi="David" w:cs="David"/>
          <w:sz w:val="24"/>
          <w:szCs w:val="24"/>
          <w:rtl/>
        </w:rPr>
        <w:t>ביום 24.11.22 התקיימה ישיבת הוכחות במהלכה נחקרו הגב' א</w:t>
      </w:r>
      <w:r>
        <w:rPr>
          <w:rFonts w:ascii="David" w:hAnsi="David" w:cs="David" w:hint="cs"/>
          <w:sz w:val="24"/>
          <w:szCs w:val="24"/>
          <w:rtl/>
        </w:rPr>
        <w:t>' א'</w:t>
      </w:r>
      <w:r w:rsidRPr="006129EF">
        <w:rPr>
          <w:rFonts w:ascii="David" w:hAnsi="David" w:cs="David"/>
          <w:sz w:val="24"/>
          <w:szCs w:val="24"/>
          <w:rtl/>
        </w:rPr>
        <w:t xml:space="preserve"> ו</w:t>
      </w:r>
      <w:r>
        <w:rPr>
          <w:rFonts w:ascii="David" w:hAnsi="David" w:cs="David" w:hint="cs"/>
          <w:sz w:val="24"/>
          <w:szCs w:val="24"/>
          <w:rtl/>
        </w:rPr>
        <w:t>אלמונית</w:t>
      </w:r>
      <w:r w:rsidRPr="006129EF">
        <w:rPr>
          <w:rFonts w:ascii="David" w:hAnsi="David" w:cs="David"/>
          <w:sz w:val="24"/>
          <w:szCs w:val="24"/>
          <w:rtl/>
        </w:rPr>
        <w:t>. בסיום הישיבה נקצבו מועדים להגשת סיכומים. משהוגשו סיכומי הצדדים, ניתן כעת פסק הדין.</w:t>
      </w:r>
    </w:p>
    <w:p w:rsidR="002B3668" w:rsidRPr="006129EF" w:rsidRDefault="002B3668" w:rsidP="002B3668">
      <w:pPr>
        <w:pStyle w:val="a9"/>
        <w:spacing w:after="0" w:line="360" w:lineRule="auto"/>
        <w:ind w:left="283"/>
        <w:jc w:val="both"/>
        <w:rPr>
          <w:rFonts w:ascii="David" w:hAnsi="David" w:cs="David"/>
          <w:sz w:val="24"/>
          <w:szCs w:val="24"/>
        </w:rPr>
      </w:pPr>
    </w:p>
    <w:p w:rsidR="002B3668" w:rsidRDefault="002B3668" w:rsidP="002B3668">
      <w:pPr>
        <w:numPr>
          <w:ilvl w:val="0"/>
          <w:numId w:val="1"/>
        </w:numPr>
        <w:spacing w:line="360" w:lineRule="auto"/>
        <w:ind w:left="283"/>
        <w:contextualSpacing/>
        <w:jc w:val="both"/>
        <w:rPr>
          <w:rFonts w:ascii="David" w:hAnsi="David"/>
        </w:rPr>
      </w:pPr>
      <w:r w:rsidRPr="006129EF">
        <w:rPr>
          <w:rFonts w:ascii="David" w:hAnsi="David"/>
          <w:rtl/>
        </w:rPr>
        <w:t>להשלמת התמונה העובדתית יצוין כי לא הוצג בפניי (מטעם אף אחד מהצדדים) פסק הדין בהליך דומה בבית המשפט לענייני משפחה ב</w:t>
      </w:r>
      <w:r>
        <w:rPr>
          <w:rFonts w:ascii="David" w:hAnsi="David" w:hint="cs"/>
        </w:rPr>
        <w:t>XXX</w:t>
      </w:r>
      <w:r w:rsidRPr="006129EF">
        <w:rPr>
          <w:rFonts w:ascii="David" w:hAnsi="David"/>
          <w:rtl/>
        </w:rPr>
        <w:t xml:space="preserve"> בעניינה של</w:t>
      </w:r>
      <w:r>
        <w:rPr>
          <w:rFonts w:ascii="David" w:hAnsi="David" w:hint="cs"/>
          <w:rtl/>
        </w:rPr>
        <w:t xml:space="preserve"> הבת הנוספת</w:t>
      </w:r>
      <w:r w:rsidRPr="006129EF">
        <w:rPr>
          <w:rFonts w:ascii="David" w:hAnsi="David"/>
          <w:rtl/>
        </w:rPr>
        <w:t>. יצוין כי המבקשת בסיכומיה ציינה בסעיף 4 את הדברים הבאים לעניין ההליך</w:t>
      </w:r>
      <w:r w:rsidR="00E673B3">
        <w:rPr>
          <w:rFonts w:ascii="David" w:hAnsi="David" w:hint="cs"/>
          <w:rtl/>
        </w:rPr>
        <w:t xml:space="preserve"> הדומה</w:t>
      </w:r>
      <w:r w:rsidRPr="006129EF">
        <w:rPr>
          <w:rFonts w:ascii="David" w:hAnsi="David"/>
          <w:rtl/>
        </w:rPr>
        <w:t>:</w:t>
      </w:r>
    </w:p>
    <w:p w:rsidR="002B3668" w:rsidRPr="00E673B3" w:rsidRDefault="00E673B3" w:rsidP="00E673B3">
      <w:pPr>
        <w:spacing w:line="360" w:lineRule="auto"/>
        <w:ind w:left="720" w:hanging="437"/>
        <w:contextualSpacing/>
        <w:jc w:val="both"/>
        <w:rPr>
          <w:rFonts w:ascii="David" w:hAnsi="David"/>
          <w:b/>
          <w:bCs/>
          <w:rtl/>
        </w:rPr>
      </w:pPr>
      <w:r w:rsidRPr="00E673B3">
        <w:rPr>
          <w:rFonts w:ascii="David" w:hAnsi="David" w:hint="cs"/>
          <w:b/>
          <w:bCs/>
          <w:rtl/>
        </w:rPr>
        <w:t>"</w:t>
      </w:r>
      <w:r w:rsidR="002B3668" w:rsidRPr="00E673B3">
        <w:rPr>
          <w:rFonts w:ascii="David" w:hAnsi="David" w:hint="cs"/>
          <w:b/>
          <w:bCs/>
          <w:rtl/>
        </w:rPr>
        <w:t>4.</w:t>
      </w:r>
      <w:r w:rsidR="002B3668" w:rsidRPr="00E673B3">
        <w:rPr>
          <w:rFonts w:ascii="David" w:hAnsi="David" w:hint="cs"/>
          <w:b/>
          <w:bCs/>
          <w:rtl/>
        </w:rPr>
        <w:tab/>
        <w:t>ועוד נציין כי במקביל לתיק זה הוגשה בקשה דומה (התלויה ועומדת) ביחס לבת נוספת של משיבה 2 (הבת הנוספת) וילדיה, בבית המשפט לענייני משפחה ב</w:t>
      </w:r>
      <w:r>
        <w:rPr>
          <w:rFonts w:ascii="David" w:hAnsi="David" w:hint="cs"/>
          <w:b/>
          <w:bCs/>
        </w:rPr>
        <w:t>XXX</w:t>
      </w:r>
      <w:r w:rsidR="002B3668" w:rsidRPr="00E673B3">
        <w:rPr>
          <w:rFonts w:ascii="David" w:hAnsi="David" w:hint="cs"/>
          <w:b/>
          <w:bCs/>
          <w:rtl/>
        </w:rPr>
        <w:t xml:space="preserve"> (וזאת בשל כללי הסמכות המקומית ומקום מגורי האחות)</w:t>
      </w:r>
      <w:r w:rsidRPr="00E673B3">
        <w:rPr>
          <w:rFonts w:ascii="David" w:hAnsi="David" w:hint="cs"/>
          <w:b/>
          <w:bCs/>
          <w:rtl/>
        </w:rPr>
        <w:t>"</w:t>
      </w:r>
      <w:r w:rsidR="002B3668" w:rsidRPr="00E673B3">
        <w:rPr>
          <w:rFonts w:ascii="David" w:hAnsi="David" w:hint="cs"/>
          <w:b/>
          <w:bCs/>
          <w:rtl/>
        </w:rPr>
        <w:t>.</w:t>
      </w:r>
    </w:p>
    <w:p w:rsidR="002B3668" w:rsidRPr="006129EF" w:rsidRDefault="002B3668" w:rsidP="002B3668">
      <w:pPr>
        <w:tabs>
          <w:tab w:val="left" w:pos="283"/>
        </w:tabs>
        <w:spacing w:line="360" w:lineRule="auto"/>
        <w:ind w:left="283"/>
        <w:contextualSpacing/>
        <w:jc w:val="both"/>
        <w:rPr>
          <w:rFonts w:ascii="David" w:hAnsi="David"/>
        </w:rPr>
      </w:pPr>
    </w:p>
    <w:p w:rsidR="002B3668" w:rsidRPr="006129EF" w:rsidRDefault="002B3668" w:rsidP="002B3668">
      <w:pPr>
        <w:spacing w:line="360" w:lineRule="auto"/>
        <w:ind w:left="283"/>
        <w:contextualSpacing/>
        <w:jc w:val="both"/>
        <w:rPr>
          <w:rFonts w:ascii="David" w:hAnsi="David"/>
          <w:u w:val="single"/>
        </w:rPr>
      </w:pPr>
      <w:r w:rsidRPr="006129EF">
        <w:rPr>
          <w:rFonts w:ascii="David" w:hAnsi="David"/>
          <w:u w:val="single"/>
          <w:rtl/>
        </w:rPr>
        <w:t>כאמור, לא צורף פסק הדין הסופי בהליך האמור ועל כן הוא לא עומד בפניי.</w:t>
      </w:r>
      <w:r w:rsidRPr="006129EF">
        <w:rPr>
          <w:rFonts w:ascii="David" w:hAnsi="David"/>
          <w:u w:val="single"/>
        </w:rPr>
        <w:t xml:space="preserve"> </w:t>
      </w:r>
      <w:r w:rsidRPr="006129EF">
        <w:rPr>
          <w:rFonts w:ascii="David" w:hAnsi="David"/>
          <w:u w:val="single"/>
          <w:rtl/>
        </w:rPr>
        <w:t xml:space="preserve"> אי לכך, יוצאת אני מנקודת הנחה כי טרם ניתן פסק הדין בהליך זה. </w:t>
      </w:r>
    </w:p>
    <w:p w:rsidR="002B3668" w:rsidRPr="006129EF" w:rsidRDefault="002B3668" w:rsidP="002B3668">
      <w:pPr>
        <w:spacing w:line="360" w:lineRule="auto"/>
        <w:ind w:firstLine="720"/>
        <w:jc w:val="both"/>
        <w:rPr>
          <w:rFonts w:ascii="David" w:eastAsia="Calibri" w:hAnsi="David"/>
          <w:rtl/>
        </w:rPr>
      </w:pPr>
    </w:p>
    <w:p w:rsidR="002B3668" w:rsidRPr="006129EF" w:rsidRDefault="002B3668" w:rsidP="002B3668">
      <w:pPr>
        <w:spacing w:line="360" w:lineRule="auto"/>
        <w:ind w:left="-142"/>
        <w:jc w:val="both"/>
        <w:rPr>
          <w:rFonts w:ascii="David" w:eastAsiaTheme="minorHAnsi" w:hAnsi="David"/>
          <w:b/>
          <w:bCs/>
          <w:u w:val="single"/>
          <w:rtl/>
        </w:rPr>
      </w:pPr>
      <w:r w:rsidRPr="006129EF">
        <w:rPr>
          <w:rFonts w:ascii="David" w:hAnsi="David"/>
          <w:b/>
          <w:bCs/>
          <w:u w:val="single"/>
          <w:rtl/>
        </w:rPr>
        <w:lastRenderedPageBreak/>
        <w:t xml:space="preserve">דיון והכרעה: </w:t>
      </w:r>
    </w:p>
    <w:p w:rsidR="002B3668" w:rsidRPr="006129EF" w:rsidRDefault="002B3668" w:rsidP="002B3668">
      <w:pPr>
        <w:spacing w:line="360" w:lineRule="auto"/>
        <w:jc w:val="both"/>
        <w:rPr>
          <w:rFonts w:ascii="David" w:hAnsi="David"/>
          <w:b/>
          <w:bCs/>
          <w:u w:val="single"/>
          <w:rtl/>
        </w:rPr>
      </w:pPr>
    </w:p>
    <w:p w:rsidR="002B3668" w:rsidRPr="006129EF" w:rsidRDefault="002B3668" w:rsidP="002B3668">
      <w:pPr>
        <w:pStyle w:val="a9"/>
        <w:numPr>
          <w:ilvl w:val="0"/>
          <w:numId w:val="1"/>
        </w:numPr>
        <w:spacing w:after="0" w:line="360" w:lineRule="auto"/>
        <w:ind w:left="283"/>
        <w:jc w:val="both"/>
        <w:rPr>
          <w:rFonts w:ascii="David" w:eastAsia="Times New Roman" w:hAnsi="David" w:cs="David"/>
          <w:noProof/>
          <w:sz w:val="24"/>
          <w:szCs w:val="24"/>
          <w:rtl/>
        </w:rPr>
      </w:pPr>
      <w:r w:rsidRPr="006129EF">
        <w:rPr>
          <w:rFonts w:ascii="David" w:eastAsia="Times New Roman" w:hAnsi="David" w:cs="David"/>
          <w:noProof/>
          <w:sz w:val="24"/>
          <w:szCs w:val="24"/>
          <w:rtl/>
        </w:rPr>
        <w:t xml:space="preserve">שתי הערות כלליות ומקדימות- </w:t>
      </w:r>
    </w:p>
    <w:p w:rsidR="002B3668" w:rsidRPr="006129EF" w:rsidRDefault="002B3668" w:rsidP="002B3668">
      <w:pPr>
        <w:numPr>
          <w:ilvl w:val="0"/>
          <w:numId w:val="2"/>
        </w:numPr>
        <w:spacing w:line="360" w:lineRule="auto"/>
        <w:ind w:left="793"/>
        <w:contextualSpacing/>
        <w:jc w:val="both"/>
        <w:rPr>
          <w:rFonts w:ascii="David" w:eastAsiaTheme="minorHAnsi" w:hAnsi="David"/>
          <w:noProof w:val="0"/>
          <w:rtl/>
        </w:rPr>
      </w:pPr>
      <w:r w:rsidRPr="006129EF">
        <w:rPr>
          <w:rFonts w:ascii="David" w:hAnsi="David"/>
          <w:rtl/>
        </w:rPr>
        <w:t xml:space="preserve">כל ההדגשות אינן במקור, אלא אם צוין אחרת. </w:t>
      </w:r>
    </w:p>
    <w:p w:rsidR="002B3668" w:rsidRPr="006129EF" w:rsidRDefault="002B3668" w:rsidP="002B3668">
      <w:pPr>
        <w:numPr>
          <w:ilvl w:val="0"/>
          <w:numId w:val="2"/>
        </w:numPr>
        <w:spacing w:line="360" w:lineRule="auto"/>
        <w:ind w:left="793"/>
        <w:contextualSpacing/>
        <w:jc w:val="both"/>
        <w:rPr>
          <w:rFonts w:ascii="David" w:hAnsi="David"/>
          <w:rtl/>
        </w:rPr>
      </w:pPr>
      <w:r w:rsidRPr="006129EF">
        <w:rPr>
          <w:rFonts w:ascii="David" w:hAnsi="David"/>
          <w:rtl/>
        </w:rPr>
        <w:t>טענות הצדדים ישולבו, במידת הצורך, במסגרת פסק הדין.</w:t>
      </w:r>
    </w:p>
    <w:p w:rsidR="002B3668" w:rsidRPr="006129EF" w:rsidRDefault="002B3668" w:rsidP="002B3668">
      <w:pPr>
        <w:spacing w:line="360" w:lineRule="auto"/>
        <w:contextualSpacing/>
        <w:jc w:val="both"/>
        <w:rPr>
          <w:rFonts w:ascii="David" w:hAnsi="David"/>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אקדים ראשי</w:t>
      </w:r>
      <w:r>
        <w:rPr>
          <w:rFonts w:ascii="David" w:eastAsia="Calibri" w:hAnsi="David" w:cs="David"/>
          <w:sz w:val="24"/>
          <w:szCs w:val="24"/>
          <w:rtl/>
        </w:rPr>
        <w:t xml:space="preserve">ת לאחרית ואציין כי אני סבורה </w:t>
      </w:r>
      <w:r>
        <w:rPr>
          <w:rFonts w:ascii="David" w:eastAsia="Calibri" w:hAnsi="David" w:cs="David" w:hint="cs"/>
          <w:sz w:val="24"/>
          <w:szCs w:val="24"/>
          <w:rtl/>
        </w:rPr>
        <w:t>ש</w:t>
      </w:r>
      <w:r w:rsidRPr="006129EF">
        <w:rPr>
          <w:rFonts w:ascii="David" w:eastAsia="Calibri" w:hAnsi="David" w:cs="David"/>
          <w:sz w:val="24"/>
          <w:szCs w:val="24"/>
          <w:rtl/>
        </w:rPr>
        <w:t>דין התביעה דחייה, וזאת ממספר טעמים: ראשית, המבקשת לא הצליחה להוכיח שהמשיבים אינם יהודים, ברמה ההוכחה הגבוהה הנדרשת בנסיבות דנן. שנית, על המקרה הנוכחי חלים כללי השיהוי המנהלי המביאים למסקנה כי יש לדחות את התביעה מחמת שיהוי, והכל כפי שיבואר להלן.</w:t>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spacing w:line="360" w:lineRule="auto"/>
        <w:ind w:left="-142"/>
        <w:jc w:val="both"/>
        <w:rPr>
          <w:rFonts w:ascii="David" w:eastAsia="Calibri" w:hAnsi="David"/>
          <w:b/>
          <w:bCs/>
          <w:u w:val="single"/>
        </w:rPr>
      </w:pPr>
      <w:r w:rsidRPr="006129EF">
        <w:rPr>
          <w:rFonts w:ascii="David" w:eastAsia="Calibri" w:hAnsi="David"/>
          <w:b/>
          <w:bCs/>
          <w:u w:val="single"/>
          <w:rtl/>
        </w:rPr>
        <w:t>המסגרת הנורמטיבית- חוק מרשם האוכלוסין:</w:t>
      </w:r>
    </w:p>
    <w:p w:rsidR="002B3668" w:rsidRPr="006129EF" w:rsidRDefault="002B3668" w:rsidP="002B3668">
      <w:pPr>
        <w:spacing w:line="360" w:lineRule="auto"/>
        <w:jc w:val="both"/>
        <w:rPr>
          <w:rFonts w:ascii="David" w:eastAsia="Calibri" w:hAnsi="David"/>
          <w:b/>
          <w:bCs/>
          <w:u w:val="single"/>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פסק הדין המנחה בסוגיה שלפניי הינו פסק דינו של כב' השופט סארי ג'יוסי (להלן: "</w:t>
      </w:r>
      <w:r w:rsidRPr="006129EF">
        <w:rPr>
          <w:rFonts w:ascii="David" w:eastAsia="Calibri" w:hAnsi="David" w:cs="David"/>
          <w:b/>
          <w:bCs/>
          <w:sz w:val="24"/>
          <w:szCs w:val="24"/>
          <w:rtl/>
        </w:rPr>
        <w:t>כב' השופט ג'יוסי</w:t>
      </w:r>
      <w:r w:rsidRPr="006129EF">
        <w:rPr>
          <w:rFonts w:ascii="David" w:eastAsia="Calibri" w:hAnsi="David" w:cs="David"/>
          <w:sz w:val="24"/>
          <w:szCs w:val="24"/>
          <w:rtl/>
        </w:rPr>
        <w:t xml:space="preserve">") בעמ"ש 28713-09-19 ו'.ב' נ' מדינת ישראל [פורסם בנבו] (23.4.20) להלן: </w:t>
      </w:r>
      <w:r w:rsidRPr="006129EF">
        <w:rPr>
          <w:rFonts w:ascii="David" w:eastAsia="Calibri" w:hAnsi="David" w:cs="David"/>
          <w:b/>
          <w:bCs/>
          <w:sz w:val="24"/>
          <w:szCs w:val="24"/>
          <w:rtl/>
        </w:rPr>
        <w:t>"עמ"ש פלוני"</w:t>
      </w:r>
      <w:r w:rsidRPr="006129EF">
        <w:rPr>
          <w:rFonts w:ascii="David" w:eastAsia="Calibri" w:hAnsi="David" w:cs="David"/>
          <w:sz w:val="24"/>
          <w:szCs w:val="24"/>
          <w:rtl/>
        </w:rPr>
        <w:t xml:space="preserve"> אשר סקר בהרחבה את המסגרת הנורמטיבית של הסוגיה בה עסקינן. בעמ"ש פלוני </w:t>
      </w:r>
      <w:r>
        <w:rPr>
          <w:rFonts w:ascii="David" w:eastAsia="Calibri" w:hAnsi="David" w:cs="David" w:hint="cs"/>
          <w:sz w:val="24"/>
          <w:szCs w:val="24"/>
          <w:rtl/>
        </w:rPr>
        <w:t xml:space="preserve">קיבל </w:t>
      </w:r>
      <w:r w:rsidRPr="006129EF">
        <w:rPr>
          <w:rFonts w:ascii="David" w:eastAsia="Calibri" w:hAnsi="David" w:cs="David"/>
          <w:sz w:val="24"/>
          <w:szCs w:val="24"/>
          <w:rtl/>
        </w:rPr>
        <w:t xml:space="preserve">בית המשפט </w:t>
      </w:r>
      <w:r>
        <w:rPr>
          <w:rFonts w:ascii="David" w:eastAsia="Calibri" w:hAnsi="David" w:cs="David" w:hint="cs"/>
          <w:sz w:val="24"/>
          <w:szCs w:val="24"/>
          <w:rtl/>
        </w:rPr>
        <w:t xml:space="preserve">המחוזי את עמדתו של בית המשפט לענייני משפחה, אשר </w:t>
      </w:r>
      <w:r w:rsidRPr="006129EF">
        <w:rPr>
          <w:rFonts w:ascii="David" w:eastAsia="Calibri" w:hAnsi="David" w:cs="David"/>
          <w:sz w:val="24"/>
          <w:szCs w:val="24"/>
          <w:rtl/>
        </w:rPr>
        <w:t xml:space="preserve">קבע כי רישום דתם ולאומם של התובעים במרשם האוכלוסין נעשה בהסתמך על תעודות לידה מזויפות ולכן הורה על תיקונו כך שיוסר שיוכם לדת וללאום היהודים. </w:t>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הערעור בעמ"ש פלוני נדחה ברוב דעות</w:t>
      </w:r>
      <w:r>
        <w:rPr>
          <w:rFonts w:ascii="David" w:eastAsia="Calibri" w:hAnsi="David" w:cs="David"/>
          <w:sz w:val="24"/>
          <w:szCs w:val="24"/>
          <w:rtl/>
        </w:rPr>
        <w:t xml:space="preserve"> של השופטות ע</w:t>
      </w:r>
      <w:r>
        <w:rPr>
          <w:rFonts w:ascii="David" w:eastAsia="Calibri" w:hAnsi="David" w:cs="David" w:hint="cs"/>
          <w:sz w:val="24"/>
          <w:szCs w:val="24"/>
          <w:rtl/>
        </w:rPr>
        <w:t>ופרה</w:t>
      </w:r>
      <w:r>
        <w:rPr>
          <w:rFonts w:ascii="David" w:eastAsia="Calibri" w:hAnsi="David" w:cs="David"/>
          <w:sz w:val="24"/>
          <w:szCs w:val="24"/>
          <w:rtl/>
        </w:rPr>
        <w:t xml:space="preserve"> אטיאס וא</w:t>
      </w:r>
      <w:r>
        <w:rPr>
          <w:rFonts w:ascii="David" w:eastAsia="Calibri" w:hAnsi="David" w:cs="David" w:hint="cs"/>
          <w:sz w:val="24"/>
          <w:szCs w:val="24"/>
          <w:rtl/>
        </w:rPr>
        <w:t>ספרנצה</w:t>
      </w:r>
      <w:r w:rsidRPr="006129EF">
        <w:rPr>
          <w:rFonts w:ascii="David" w:eastAsia="Calibri" w:hAnsi="David" w:cs="David"/>
          <w:sz w:val="24"/>
          <w:szCs w:val="24"/>
          <w:rtl/>
        </w:rPr>
        <w:t xml:space="preserve"> אלון נגד דעתו החולקת של אב"ד השופט ג'יוסי. דעת הרוב חזרה על הקביעה כי דיני ההתיישנות לא חלים על תביעות לסעד הצהרתי שעניינן סטטוס. עוד נדרש בית המשפט המחוזי לשאלת השיהוי המנהלי, שעניינה בלוח הזמנים שבו התנהלה המדינה בעניינם של המבקשים, ונפקותו. דעת הרוב סברה כי מאחר ששאלה זו נדונה ביוזמת ההרכב ולא הועלתה על-ידי המבקשים, אין הצדקה להידרש אליה, וכי ממילא, אין לקבל טענת שיהוי מקום שטענת התיישנות נדחתה. לגופה של סוגיית רישום דתם של המבקשים, דעת הרוב הכריעה כי המשיבה עמדה בנטל המוטל עליה לסתור את נכונות מרשם האוכלוסין, ועל כן יש להיעתר לבקשתה לשינוי פרטי דתם של המבקשים. הוסבר כי מאחר שזכאות המבקשים לרישומם כיהודים התבססה על תעודות אשר התבררו כמזויפות, די בכך כדי להעביר לשכמם את הנטל להראות כי חרף הזיוף אין לשנות את רישום דתם, קרי, להוכיח את יהדותם באמצעים אחרים – והמבקשים לא עמדו בנטל זה. בהקשר זה הודגש כי המבקשים ידעו תקופה של</w:t>
      </w:r>
      <w:r>
        <w:rPr>
          <w:rFonts w:ascii="David" w:eastAsia="Calibri" w:hAnsi="David" w:cs="David"/>
          <w:sz w:val="24"/>
          <w:szCs w:val="24"/>
          <w:rtl/>
        </w:rPr>
        <w:t xml:space="preserve"> שנים רבות לפני הגשת התובענה </w:t>
      </w:r>
      <w:r>
        <w:rPr>
          <w:rFonts w:ascii="David" w:eastAsia="Calibri" w:hAnsi="David" w:cs="David" w:hint="cs"/>
          <w:sz w:val="24"/>
          <w:szCs w:val="24"/>
          <w:rtl/>
        </w:rPr>
        <w:t>ש</w:t>
      </w:r>
      <w:r w:rsidRPr="006129EF">
        <w:rPr>
          <w:rFonts w:ascii="David" w:eastAsia="Calibri" w:hAnsi="David" w:cs="David"/>
          <w:sz w:val="24"/>
          <w:szCs w:val="24"/>
          <w:rtl/>
        </w:rPr>
        <w:t xml:space="preserve">המשיבה מטילה ספק ביהדותם, אך חרף זאת לא פעלו לאיסוף ראיות להוכחת יהדותם, כך שהתנהלות המשיבה והשתהותה בהגשת התובענה לא גרמו להם לנזק ראייתי. מטעמים אלו, נדחה הערעור בדעת רוב. דעת המיעוט סברה כי בנסיבות מקרה זה המשיבה לא עמדה בנטל המוטל עליה להוכיח כי המבקשים אינם יהודים ברף הדרוש </w:t>
      </w:r>
      <w:r w:rsidRPr="006129EF">
        <w:rPr>
          <w:rFonts w:ascii="David" w:eastAsia="Calibri" w:hAnsi="David" w:cs="David"/>
          <w:sz w:val="24"/>
          <w:szCs w:val="24"/>
          <w:rtl/>
        </w:rPr>
        <w:lastRenderedPageBreak/>
        <w:t>לשינוי הרישום, וכי ממילא יש לקבל את הערעור ולהורות על דחיית תביעת המשיבה לנוכח השיהוי הניכר שבו הוגשה, אשר פגע באינטרס ההסתמכות של המבקשים וגרם להם נזק ראייתי. לנוכח מסק</w:t>
      </w:r>
      <w:r>
        <w:rPr>
          <w:rFonts w:ascii="David" w:eastAsia="Calibri" w:hAnsi="David" w:cs="David"/>
          <w:sz w:val="24"/>
          <w:szCs w:val="24"/>
          <w:rtl/>
        </w:rPr>
        <w:t>נה זו, דעת המיעוט לא נדרשה ל</w:t>
      </w:r>
      <w:r>
        <w:rPr>
          <w:rFonts w:ascii="David" w:eastAsia="Calibri" w:hAnsi="David" w:cs="David" w:hint="cs"/>
          <w:sz w:val="24"/>
          <w:szCs w:val="24"/>
          <w:rtl/>
        </w:rPr>
        <w:t xml:space="preserve">קבוע </w:t>
      </w:r>
      <w:r w:rsidRPr="006129EF">
        <w:rPr>
          <w:rFonts w:ascii="David" w:eastAsia="Calibri" w:hAnsi="David" w:cs="David"/>
          <w:sz w:val="24"/>
          <w:szCs w:val="24"/>
          <w:rtl/>
        </w:rPr>
        <w:t xml:space="preserve">מסמרות בשאלת ההתיישנות, אולם היא העירה כי יש הצדקה להחיל את דיני ההתיישנות במקרה זה. </w:t>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b/>
          <w:bCs/>
          <w:sz w:val="24"/>
          <w:szCs w:val="24"/>
        </w:rPr>
      </w:pPr>
      <w:r w:rsidRPr="006129EF">
        <w:rPr>
          <w:rFonts w:ascii="David" w:eastAsia="Calibri" w:hAnsi="David" w:cs="David"/>
          <w:sz w:val="24"/>
          <w:szCs w:val="24"/>
          <w:rtl/>
        </w:rPr>
        <w:t>על עמ"ש פלוני הוגשה בקשת רשות ערעור לבית המשפט העליון, אשר נדחתה בהחלטתו של כב</w:t>
      </w:r>
      <w:r>
        <w:rPr>
          <w:rFonts w:ascii="David" w:eastAsia="Calibri" w:hAnsi="David" w:cs="David"/>
          <w:sz w:val="24"/>
          <w:szCs w:val="24"/>
          <w:rtl/>
        </w:rPr>
        <w:t>' המשנה לנשיאה (בדימוס) נ</w:t>
      </w:r>
      <w:r>
        <w:rPr>
          <w:rFonts w:ascii="David" w:eastAsia="Calibri" w:hAnsi="David" w:cs="David" w:hint="cs"/>
          <w:sz w:val="24"/>
          <w:szCs w:val="24"/>
          <w:rtl/>
        </w:rPr>
        <w:t xml:space="preserve">יל </w:t>
      </w:r>
      <w:r w:rsidRPr="006129EF">
        <w:rPr>
          <w:rFonts w:ascii="David" w:eastAsia="Calibri" w:hAnsi="David" w:cs="David"/>
          <w:sz w:val="24"/>
          <w:szCs w:val="24"/>
          <w:rtl/>
        </w:rPr>
        <w:t>הנדל בבע"מ 3358/20 פלוני נ' מדינת ישראל משרד הפנים [פורסם בנבו] (20.7.22). יחד עם זאת, נאמרו על ידי בית המשפט העליון מספר אמירות, הרלבנטיות לענייננו.</w:t>
      </w:r>
      <w:r>
        <w:rPr>
          <w:rFonts w:ascii="David" w:eastAsia="Calibri" w:hAnsi="David" w:cs="David"/>
          <w:sz w:val="24"/>
          <w:szCs w:val="24"/>
          <w:rtl/>
        </w:rPr>
        <w:t xml:space="preserve"> כך, בפיסקה 6 ציין כב' השופט נ</w:t>
      </w:r>
      <w:r w:rsidRPr="006129EF">
        <w:rPr>
          <w:rFonts w:ascii="David" w:eastAsia="Calibri" w:hAnsi="David" w:cs="David"/>
          <w:sz w:val="24"/>
          <w:szCs w:val="24"/>
          <w:rtl/>
        </w:rPr>
        <w:t xml:space="preserve">הנדל את הדברים הבאים: </w:t>
      </w:r>
      <w:r w:rsidRPr="006129EF">
        <w:rPr>
          <w:rFonts w:ascii="David" w:eastAsia="Calibri" w:hAnsi="David" w:cs="David"/>
          <w:b/>
          <w:bCs/>
          <w:sz w:val="24"/>
          <w:szCs w:val="24"/>
          <w:rtl/>
        </w:rPr>
        <w:t xml:space="preserve">"לא נעלמו מעיניי השיקולים שבבסיס עמדת המיעוט של כב' השופט ס' ג'יוסי, אשר סבר כי מוצדק להחיל את דיני ההתיישנות על התובענה שהגישה המשיבה. שיקולים אלו הם הסתמכות המבקשים על המרשם והנזק הראייתי שנגרם להם מהגשת התביעה במועד שבו הוגשה. הגם שאלו הם שיקולים חשובים ורלוונטיים, אין בכוחם לגבור על הכלל שהשתרש באשר לאי-התיישנותם של הליכים לתיקון פרטי מרשם האוכלוסין. ברם, </w:t>
      </w:r>
      <w:r w:rsidRPr="006129EF">
        <w:rPr>
          <w:rFonts w:ascii="David" w:eastAsia="Calibri" w:hAnsi="David" w:cs="David"/>
          <w:b/>
          <w:bCs/>
          <w:sz w:val="24"/>
          <w:szCs w:val="24"/>
          <w:u w:val="single"/>
          <w:rtl/>
        </w:rPr>
        <w:t>אין פירוש הדבר שלשיקולים אלו אין מקום בדיון; ראוי שיינתן להם מקום בשאלת קיומו של שיהוי מנהלי ותוצאותיו</w:t>
      </w:r>
      <w:r w:rsidRPr="006129EF">
        <w:rPr>
          <w:rFonts w:ascii="David" w:eastAsia="Calibri" w:hAnsi="David" w:cs="David"/>
          <w:b/>
          <w:bCs/>
          <w:sz w:val="24"/>
          <w:szCs w:val="24"/>
          <w:rtl/>
        </w:rPr>
        <w:t xml:space="preserve"> (ראו גם: סעיף 27 לחוק ההתיישנות, תשי"ח-1958)". </w:t>
      </w:r>
      <w:r w:rsidRPr="006129EF">
        <w:rPr>
          <w:rFonts w:ascii="David" w:eastAsia="Calibri" w:hAnsi="David" w:cs="David"/>
          <w:sz w:val="24"/>
          <w:szCs w:val="24"/>
          <w:rtl/>
        </w:rPr>
        <w:t xml:space="preserve">כמו כן, השופט </w:t>
      </w:r>
      <w:r>
        <w:rPr>
          <w:rFonts w:ascii="David" w:eastAsia="Calibri" w:hAnsi="David" w:cs="David" w:hint="cs"/>
          <w:sz w:val="24"/>
          <w:szCs w:val="24"/>
          <w:rtl/>
        </w:rPr>
        <w:t xml:space="preserve">ניל </w:t>
      </w:r>
      <w:r w:rsidRPr="006129EF">
        <w:rPr>
          <w:rFonts w:ascii="David" w:eastAsia="Calibri" w:hAnsi="David" w:cs="David"/>
          <w:sz w:val="24"/>
          <w:szCs w:val="24"/>
          <w:rtl/>
        </w:rPr>
        <w:t xml:space="preserve">הנדל קבע כדלקמן (בפיסקה 7 סייפא): </w:t>
      </w:r>
      <w:r w:rsidRPr="006129EF">
        <w:rPr>
          <w:rFonts w:ascii="David" w:eastAsia="Calibri" w:hAnsi="David" w:cs="David"/>
          <w:b/>
          <w:bCs/>
          <w:sz w:val="24"/>
          <w:szCs w:val="24"/>
          <w:rtl/>
        </w:rPr>
        <w:t xml:space="preserve">"יש להדגיש כי בניגוד לעולה מפסק דינה של כב' השופטת ע' אטיאס (בפס' 14), אי-קבלת טענת התיישנות אינה גוזרת גזירה שווה על טענת שיהוי, ומצדיקה את דחייתה של האחרונה". </w:t>
      </w:r>
      <w:r w:rsidRPr="006129EF">
        <w:rPr>
          <w:rFonts w:ascii="David" w:eastAsia="Calibri" w:hAnsi="David" w:cs="David"/>
          <w:sz w:val="24"/>
          <w:szCs w:val="24"/>
          <w:rtl/>
        </w:rPr>
        <w:t xml:space="preserve">בנוסף, נקבע כי (בפיסקה 8): </w:t>
      </w:r>
      <w:r w:rsidRPr="006129EF">
        <w:rPr>
          <w:rFonts w:ascii="David" w:eastAsia="Calibri" w:hAnsi="David" w:cs="David"/>
          <w:b/>
          <w:bCs/>
          <w:sz w:val="24"/>
          <w:szCs w:val="24"/>
          <w:rtl/>
        </w:rPr>
        <w:t xml:space="preserve">"...מבלי להקל ראש בקושי שמעוררת גרירת הרגליים של המדינה, </w:t>
      </w:r>
      <w:r w:rsidRPr="006129EF">
        <w:rPr>
          <w:rFonts w:ascii="David" w:eastAsia="Calibri" w:hAnsi="David" w:cs="David"/>
          <w:b/>
          <w:bCs/>
          <w:sz w:val="24"/>
          <w:szCs w:val="24"/>
          <w:u w:val="single"/>
          <w:rtl/>
        </w:rPr>
        <w:t>גם אם ניתן היה להגיע לתוצאה אחרת – ואיני נדרש להכריע בכך</w:t>
      </w:r>
      <w:r w:rsidRPr="006129EF">
        <w:rPr>
          <w:rFonts w:ascii="David" w:eastAsia="Calibri" w:hAnsi="David" w:cs="David"/>
          <w:b/>
          <w:bCs/>
          <w:sz w:val="24"/>
          <w:szCs w:val="24"/>
          <w:rtl/>
        </w:rPr>
        <w:t xml:space="preserve"> – תוצאה זו אינה מצדיקה להעניק למבקשים רשות ערעור על פסק הדין קמא ב"גלגול שלישי", שעה שמדובר בשאלה יישומית שההכרעה בה נטועה בנסיבות המקרה הקונקרטי".</w:t>
      </w:r>
    </w:p>
    <w:p w:rsidR="002B3668" w:rsidRPr="006129EF" w:rsidRDefault="002B3668" w:rsidP="002B3668">
      <w:pPr>
        <w:pStyle w:val="a9"/>
        <w:spacing w:after="0" w:line="360" w:lineRule="auto"/>
        <w:ind w:left="368"/>
        <w:jc w:val="both"/>
        <w:rPr>
          <w:rFonts w:ascii="David" w:eastAsia="Calibri"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כאמור, המסגרת הנורמטיבית בה עסקינן נסקרה בפסק דינו של השופט ג'יוסי בעמ"ש פלוני. כך, בפיסקה 18 לפסק דינו:</w:t>
      </w:r>
    </w:p>
    <w:p w:rsidR="002B3668" w:rsidRPr="006129EF" w:rsidRDefault="002B3668" w:rsidP="002B3668">
      <w:pPr>
        <w:pStyle w:val="a9"/>
        <w:spacing w:after="0" w:line="360" w:lineRule="auto"/>
        <w:ind w:left="283"/>
        <w:jc w:val="both"/>
        <w:rPr>
          <w:rFonts w:ascii="David" w:eastAsia="Calibri" w:hAnsi="David" w:cs="David"/>
          <w:b/>
          <w:bCs/>
          <w:sz w:val="24"/>
          <w:szCs w:val="24"/>
        </w:rPr>
      </w:pPr>
      <w:r w:rsidRPr="006129EF">
        <w:rPr>
          <w:rFonts w:ascii="David" w:eastAsia="Calibri" w:hAnsi="David" w:cs="David"/>
          <w:b/>
          <w:bCs/>
          <w:sz w:val="24"/>
          <w:szCs w:val="24"/>
          <w:rtl/>
        </w:rPr>
        <w:t xml:space="preserve">"בכל הנוגע לשינוי הרישום נקבע כי הוא יכול להתבצע בהתאם להודעת התושב שאליה תצורף תעודה ציבורית המעידה על השינוי (סעיף 17 וכן 19ג לחוק מרשם האוכלוסין) או בהתאם לתעודה ציבורית שתישלח על ידי הרשות הנוגעת בדבר (סעיפים 15-16 וכן סעיף 19ג לחוק מרשם האוכלוסין). עוד נקבע בחוק כי פקיד רישום ראשי רשאי ליזום את השינוי, קרי, לרשום תושב שאינו רשום, או לתקן פרט ברישום, אם מתברר לו שהרישום הקיים חסר, או סותר רישום אחר או תעודה ציבורית אחרת. וכך נקבע בסעיף 19ה(א) לחוק מרשם האוכלוסין: נוכח פקיד הרישום הראשי כי פרט או שינוי של פרט החייב רישום לא נרשם או שרישומו או תיקון רישומו אינו שלם או עומד בסתירה לרישום אחר שבמרשם או לתעודה ציבורית, רשאי הוא, מיזמתו ולאחר שברר את הדבר ונתן לכל מי שהפרט מתייחס אליו הזדמנות להשמיע טענותיו ולהביא ראיותיו – לרשום את הפרט או את שינוי הפרט או להשלים או לתקן את הרישום ובלבד שרישום שנעשה על פי </w:t>
      </w:r>
      <w:r w:rsidRPr="006129EF">
        <w:rPr>
          <w:rFonts w:ascii="David" w:eastAsia="Calibri" w:hAnsi="David" w:cs="David"/>
          <w:b/>
          <w:bCs/>
          <w:sz w:val="24"/>
          <w:szCs w:val="24"/>
          <w:rtl/>
        </w:rPr>
        <w:lastRenderedPageBreak/>
        <w:t>תעודה ציבורית לא ישונה, לא יושלם ולא יתוקן לפי סעיף קטן זה אלא על פי תעודה ציבורית המעידה על אותו פרט (ההדגשות לא במקור – ס"ג'). משמעות הדבר היא שעל פקיד הרישום הראשי לברר את עובדות המקרה ולבחון את טענות וראיות התושב בטרם יפעל להשלמת החסר או לתיקון הסתירה. בנוסף, נקבע ביחס לפרטי הדת, הלאום או המצב האישי  - כי פקיד הרישום אינו יכול לשנותם, אלא בהתקיים אחד משני התנאים: הראשון, השינוי נעשה בהסכמת התושב שלגביו הוא מתייחס; השני, השינוי נעשה על פי פסק דין הצהרתי של בית המשפט לענייני משפחה. כך לפי סעיף 19ה(ב) לחוק מרשם האוכלוסין: לגבי הלאום, הדת או המצב האישי לא יעשה פקיד הרישום הראשי כאמור בסעיף קטן (א) אלא בהסכמת מי שהפרט מתייחס אליו, או על פי פסק דין הצהרתי של בית המשפט לעניני משפחה שניתן לבקשתו של פקיד הרישום הראשי; הבקשה תוגש לבית המשפט לעניני משפחה שבתחום שיפוטו נמצא מען האדם שהפרט מתייחס אליו; היא תוגש ותתברר בבקשה בדרך המרצה, וכל מי שהפרט מתייחס אליו יהיה משיב. אם כן, בכל הנוגע לשינוי רישום של רכיב הדת או הלאום, רשאי פקיד הרישום, לאחר שבירר את עובדות המקרה ובחן את טענות וראיות התושב, להגיש לבית המשפט לענייני משפחה בקשה לתיקונו, מקום והתושב לא הסכים לתיקון. ככל שבית המשפט יקבל את הבקשה, יינתן פסק דין הצהרתי שעל בסיסו ישנה פקיד הרישום את רישום הדת והלאום של התושב".</w:t>
      </w:r>
    </w:p>
    <w:p w:rsidR="002B3668" w:rsidRPr="006129EF" w:rsidRDefault="002B3668" w:rsidP="002B3668">
      <w:pPr>
        <w:pStyle w:val="a9"/>
        <w:spacing w:after="0" w:line="360" w:lineRule="auto"/>
        <w:ind w:left="368"/>
        <w:jc w:val="both"/>
        <w:rPr>
          <w:rFonts w:ascii="David" w:eastAsia="Calibri" w:hAnsi="David" w:cs="David"/>
          <w:b/>
          <w:bCs/>
          <w:sz w:val="24"/>
          <w:szCs w:val="24"/>
          <w:rtl/>
        </w:rPr>
      </w:pPr>
    </w:p>
    <w:p w:rsidR="002B3668" w:rsidRPr="006129EF" w:rsidRDefault="002B3668" w:rsidP="002B3668">
      <w:pPr>
        <w:pStyle w:val="a9"/>
        <w:spacing w:after="0" w:line="360" w:lineRule="auto"/>
        <w:ind w:left="283"/>
        <w:jc w:val="both"/>
        <w:rPr>
          <w:rFonts w:ascii="David" w:eastAsia="Calibri" w:hAnsi="David" w:cs="David"/>
          <w:b/>
          <w:bCs/>
          <w:sz w:val="24"/>
          <w:szCs w:val="24"/>
          <w:rtl/>
        </w:rPr>
      </w:pPr>
      <w:r w:rsidRPr="006129EF">
        <w:rPr>
          <w:rFonts w:ascii="David" w:eastAsia="Calibri" w:hAnsi="David" w:cs="David"/>
          <w:sz w:val="24"/>
          <w:szCs w:val="24"/>
          <w:rtl/>
        </w:rPr>
        <w:t>בהמשך פסק דינו, עמד השופט ג'יוסי על</w:t>
      </w:r>
      <w:r w:rsidRPr="006129EF">
        <w:rPr>
          <w:rFonts w:ascii="David" w:eastAsia="Calibri" w:hAnsi="David" w:cs="David"/>
          <w:b/>
          <w:bCs/>
          <w:sz w:val="24"/>
          <w:szCs w:val="24"/>
          <w:rtl/>
        </w:rPr>
        <w:t xml:space="preserve"> </w:t>
      </w:r>
      <w:r w:rsidRPr="006129EF">
        <w:rPr>
          <w:rFonts w:ascii="David" w:eastAsia="Calibri" w:hAnsi="David" w:cs="David"/>
          <w:sz w:val="24"/>
          <w:szCs w:val="24"/>
          <w:rtl/>
        </w:rPr>
        <w:t>ההבדל בין רישום ראשון ושינוי רישום, באומרו את הדברים הבאים (בפיסקה 22 לפסק דינו): "</w:t>
      </w:r>
      <w:r w:rsidRPr="006129EF">
        <w:rPr>
          <w:rFonts w:ascii="David" w:eastAsia="Calibri" w:hAnsi="David" w:cs="David"/>
          <w:b/>
          <w:bCs/>
          <w:sz w:val="24"/>
          <w:szCs w:val="24"/>
          <w:rtl/>
        </w:rPr>
        <w:t>ברישום ראשון מסתמך פקיד הרישום על ההודעה והמסמכים שהוצגו לפניו, כשהיקף סמכותו מוגבל לבחינת אמיתותם בלבד. מכוח זה, נקבע כי סמכותו של בית המשפט במסגרת הביקורת השיפוטית על פקיד הרישום מוגבלת אף היא לשאלה זו בלבד (ראו עניין גולדמן, בעמ' 395; עניין בן ארי, בעמ' 19), וכי אין הכרח כי הרישום ייעשה על בסיס תעודה ציבורית. לעומת זאת במקרה של שינוי הרישום, יש צורך בתעודה ציבורית המעידה על תוקפו של השינוי...סעיף 19ה לחוק מרשם האוכלוסין קובע את האופן שבו יכול פקיד הרישום לשנות פרט מפרטי המרשם מיוזמתו. נקבע כי על פקיד הרישום לברר את הטעות הנחזית ברישום הראשון, ולתת לתושב שלגביו מתייחס התיקון הזדמנות להשמיע את טענותיו ולהביא את ראיותיו (ראו גם בג"ץ 4504/05 סקבורצוב נ' השר לבטחון פנים, בפס' 17 לפסק דינו של כב' השופט  מלצר (4/11/2009) (להלן: עניין סקבורצוב)). החלטת פקיד הרישום הראשי על שינוי רישום ביוזמתו לפי סעיף 19ה(א) היא החלטה מנהלית, וככזו, כפופה לביקורת שיפוטית ועליה לעמוד בדרישות של סבירות ומידתיות. בנוסף, החוק קובע כי בכל הנוגע לשינוי פרט הלאום, הדת או המצב האישי ביוזמתו של פקיד הרישום, נדרשת הסכמת התושב שאליו מתייחס השינוי, ואם אין הסכמה כאמור, נדרש פסק דין הצהרתי של בית המשפט לענייני משפחה (סעיף 19 לחוק מרשם האוכלוסין; עניין סקבורצוב, שם)".</w:t>
      </w:r>
    </w:p>
    <w:p w:rsidR="002B3668" w:rsidRPr="006129EF" w:rsidRDefault="002B3668" w:rsidP="002B3668">
      <w:pPr>
        <w:pStyle w:val="a9"/>
        <w:spacing w:after="0" w:line="360" w:lineRule="auto"/>
        <w:ind w:left="368"/>
        <w:jc w:val="both"/>
        <w:rPr>
          <w:rFonts w:ascii="David" w:eastAsia="Calibri" w:hAnsi="David" w:cs="David"/>
          <w:sz w:val="24"/>
          <w:szCs w:val="24"/>
          <w:rtl/>
        </w:rPr>
      </w:pPr>
    </w:p>
    <w:p w:rsidR="002B3668" w:rsidRPr="006129EF" w:rsidRDefault="002B3668" w:rsidP="002B3668">
      <w:pPr>
        <w:pStyle w:val="a9"/>
        <w:spacing w:after="0" w:line="360" w:lineRule="auto"/>
        <w:ind w:left="283"/>
        <w:jc w:val="both"/>
        <w:rPr>
          <w:rFonts w:ascii="David" w:eastAsia="Calibri" w:hAnsi="David" w:cs="David"/>
          <w:b/>
          <w:bCs/>
          <w:sz w:val="24"/>
          <w:szCs w:val="24"/>
          <w:rtl/>
        </w:rPr>
      </w:pPr>
      <w:r w:rsidRPr="006129EF">
        <w:rPr>
          <w:rFonts w:ascii="David" w:eastAsia="Calibri" w:hAnsi="David" w:cs="David"/>
          <w:sz w:val="24"/>
          <w:szCs w:val="24"/>
          <w:rtl/>
        </w:rPr>
        <w:t>כמו כן, עמד כב' השופט ג'יוסי על מהות הנטל המוטל על משרד הפנים להוכחת הצורך בשינוי הרישום וקבע כדלקמן (בפיסקה 24 לפסק דינו)</w:t>
      </w:r>
      <w:r w:rsidRPr="006129EF">
        <w:rPr>
          <w:rFonts w:ascii="David" w:eastAsia="Calibri" w:hAnsi="David" w:cs="David"/>
          <w:b/>
          <w:bCs/>
          <w:sz w:val="24"/>
          <w:szCs w:val="24"/>
          <w:rtl/>
        </w:rPr>
        <w:t xml:space="preserve">: "...אם כן, החוק והפסיקה מבדילים בין רישום </w:t>
      </w:r>
      <w:r w:rsidRPr="006129EF">
        <w:rPr>
          <w:rFonts w:ascii="David" w:eastAsia="Calibri" w:hAnsi="David" w:cs="David"/>
          <w:b/>
          <w:bCs/>
          <w:sz w:val="24"/>
          <w:szCs w:val="24"/>
          <w:rtl/>
        </w:rPr>
        <w:lastRenderedPageBreak/>
        <w:t xml:space="preserve">ראשון ושינוי רישום, ואף בין שינוי שנעשה ביוזמת התושב לבין שינוי שנעשה ביוזמת פקיד הרישום (לעניין שינוי ביוזמת האזרח ראו למשל: עניין נעמת בפס' 27 - 33 לפסק דינו של כב' הנשיא ברק; עניין אורנן). עם זאת, המשותף לבקשות לשינוי המרשם, בין מצד התושב ובין מצד פקיד הרישום, הוא </w:t>
      </w:r>
      <w:r w:rsidRPr="006129EF">
        <w:rPr>
          <w:rFonts w:ascii="David" w:eastAsia="Calibri" w:hAnsi="David" w:cs="David"/>
          <w:b/>
          <w:bCs/>
          <w:sz w:val="24"/>
          <w:szCs w:val="24"/>
          <w:u w:val="single"/>
          <w:rtl/>
        </w:rPr>
        <w:t>שעל מבקש השינוי להוכיח את הבקשה לשינוי על פי אמות מידה מקובלות, שאינן מצטמצמות לשאלת אמיתות המסמכים בלבד, זאת בניגוד להלכה בדבר רישום ראשון</w:t>
      </w:r>
      <w:r w:rsidRPr="006129EF">
        <w:rPr>
          <w:rFonts w:ascii="David" w:eastAsia="Calibri" w:hAnsi="David" w:cs="David"/>
          <w:b/>
          <w:bCs/>
          <w:sz w:val="24"/>
          <w:szCs w:val="24"/>
          <w:rtl/>
        </w:rPr>
        <w:t xml:space="preserve">...מן המקובץ עולה כי </w:t>
      </w:r>
      <w:r w:rsidRPr="006129EF">
        <w:rPr>
          <w:rFonts w:ascii="David" w:eastAsia="Calibri" w:hAnsi="David" w:cs="David"/>
          <w:b/>
          <w:bCs/>
          <w:sz w:val="24"/>
          <w:szCs w:val="24"/>
          <w:u w:val="single"/>
          <w:rtl/>
        </w:rPr>
        <w:t>לשם שינוי רישום ביוזמת פקיד הרישום, נדרש האחרון לברר את טענות הצדדים, לבחון את ראיותיהם ולגבש תשתית ראייתית העומדת ברף  הנדרש לסתירת חזקת הזכאות. בית המשפט לענייני משפחה, בדונו בתובענה לסעד הצהרתי לשינוי הרישום, יבחן האם פקיד הרישום עמד ברף הראייתי הנדרש, והאם החלטתו ליזום את שינוי הרישום עמדה באמות המידה הנדרשות ממנו בעת הפעלת שיקול הדעת המנהלי</w:t>
      </w:r>
      <w:r w:rsidRPr="006129EF">
        <w:rPr>
          <w:rFonts w:ascii="David" w:eastAsia="Calibri" w:hAnsi="David" w:cs="David"/>
          <w:b/>
          <w:bCs/>
          <w:sz w:val="24"/>
          <w:szCs w:val="24"/>
          <w:rtl/>
        </w:rPr>
        <w:t>".</w:t>
      </w:r>
    </w:p>
    <w:p w:rsidR="002B3668" w:rsidRPr="006129EF" w:rsidRDefault="002B3668" w:rsidP="002B3668">
      <w:pPr>
        <w:pStyle w:val="a9"/>
        <w:spacing w:after="0" w:line="360" w:lineRule="auto"/>
        <w:ind w:left="283"/>
        <w:jc w:val="both"/>
        <w:rPr>
          <w:rFonts w:ascii="David" w:eastAsia="Calibri" w:hAnsi="David" w:cs="David"/>
          <w:b/>
          <w:bCs/>
          <w:sz w:val="24"/>
          <w:szCs w:val="24"/>
          <w:rtl/>
        </w:rPr>
      </w:pPr>
      <w:r w:rsidRPr="006129EF">
        <w:rPr>
          <w:rFonts w:ascii="David" w:eastAsia="Calibri" w:hAnsi="David" w:cs="David"/>
          <w:sz w:val="24"/>
          <w:szCs w:val="24"/>
          <w:rtl/>
        </w:rPr>
        <w:t>כב' השופט ג'יוסי הבהיר (בפיסקה 25 לפסק דינו) כי</w:t>
      </w:r>
      <w:r w:rsidRPr="006129EF">
        <w:rPr>
          <w:rFonts w:ascii="David" w:eastAsia="Calibri" w:hAnsi="David" w:cs="David"/>
          <w:b/>
          <w:bCs/>
          <w:sz w:val="24"/>
          <w:szCs w:val="24"/>
          <w:rtl/>
        </w:rPr>
        <w:t>: "...הדין מבדיל בין רישום ראשון ושינוי רישום והדבר בא לידי ביטוי גם בהיקף הראיות הנדרשות והיקף הבירור שעל פקיד הרישום לערוך, ובהתאם, זה הנדרש מבית המשפט לענייני משפחה בדונו בתביעה לשינוי המרשם".</w:t>
      </w:r>
    </w:p>
    <w:p w:rsidR="002B3668" w:rsidRPr="006129EF" w:rsidRDefault="002B3668" w:rsidP="002B3668">
      <w:pPr>
        <w:pStyle w:val="a9"/>
        <w:spacing w:after="0" w:line="360" w:lineRule="auto"/>
        <w:ind w:left="283"/>
        <w:jc w:val="both"/>
        <w:rPr>
          <w:rFonts w:ascii="David" w:eastAsia="Calibri" w:hAnsi="David" w:cs="David"/>
          <w:b/>
          <w:bCs/>
          <w:sz w:val="24"/>
          <w:szCs w:val="24"/>
          <w:rtl/>
        </w:rPr>
      </w:pPr>
      <w:r w:rsidRPr="006129EF">
        <w:rPr>
          <w:rFonts w:ascii="David" w:eastAsia="Calibri" w:hAnsi="David" w:cs="David"/>
          <w:sz w:val="24"/>
          <w:szCs w:val="24"/>
          <w:rtl/>
        </w:rPr>
        <w:t xml:space="preserve">ראו גם בהמשך דבריו: </w:t>
      </w:r>
      <w:r w:rsidRPr="006129EF">
        <w:rPr>
          <w:rFonts w:ascii="David" w:eastAsia="Calibri" w:hAnsi="David" w:cs="David"/>
          <w:b/>
          <w:bCs/>
          <w:sz w:val="24"/>
          <w:szCs w:val="24"/>
          <w:rtl/>
        </w:rPr>
        <w:t xml:space="preserve">"...נשאלת השאלה כיצד אם כן בוחנים את יהדותם של המערערים, לצורך שינוי המרשם. כפי שהוזכר לעיל, סעיף 3א לחוק מרשם האוכלוסין קובע כי "יהודי" לעניין חוק זה הוא כקבוע בחוק השבות, היינו – "מי שנולד לאם יהודיה או שנתגייר, והוא אינו בן דת אחרת" (סעיף 4ב לחוק השבות). מכאן שיש לבחון האם הוכח שהמערערים לא נולדו לאם יהודיה (וכן שלא התגיירו או שהינם בני דת אחרת). </w:t>
      </w:r>
      <w:r w:rsidRPr="006129EF">
        <w:rPr>
          <w:rFonts w:ascii="David" w:eastAsia="Calibri" w:hAnsi="David" w:cs="David"/>
          <w:b/>
          <w:bCs/>
          <w:sz w:val="24"/>
          <w:szCs w:val="24"/>
          <w:u w:val="single"/>
          <w:rtl/>
        </w:rPr>
        <w:t>רק אם הוכח לבית משפט קמא, ברמת ההוכחה הנדרשת, כי המערערים אינם עונים להגדרה זו, יינתן סעד הצהרתי לשינוי הרישום ומחיקת רישומם כיהודים בפרטי הלאום והדת</w:t>
      </w:r>
      <w:r w:rsidRPr="006129EF">
        <w:rPr>
          <w:rFonts w:ascii="David" w:eastAsia="Calibri" w:hAnsi="David" w:cs="David"/>
          <w:b/>
          <w:bCs/>
          <w:sz w:val="24"/>
          <w:szCs w:val="24"/>
          <w:rtl/>
        </w:rPr>
        <w:t xml:space="preserve">". </w:t>
      </w:r>
    </w:p>
    <w:p w:rsidR="002B3668" w:rsidRPr="006129EF" w:rsidRDefault="002B3668" w:rsidP="002B3668">
      <w:pPr>
        <w:pStyle w:val="a9"/>
        <w:spacing w:after="0" w:line="360" w:lineRule="auto"/>
        <w:ind w:left="368"/>
        <w:jc w:val="both"/>
        <w:rPr>
          <w:rFonts w:ascii="David" w:eastAsia="Calibri" w:hAnsi="David" w:cs="David"/>
          <w:b/>
          <w:bCs/>
          <w:sz w:val="24"/>
          <w:szCs w:val="24"/>
          <w:rtl/>
        </w:rPr>
      </w:pPr>
    </w:p>
    <w:p w:rsidR="002B3668" w:rsidRPr="006129EF" w:rsidRDefault="002B3668" w:rsidP="002B3668">
      <w:pPr>
        <w:pStyle w:val="a9"/>
        <w:spacing w:after="0" w:line="360" w:lineRule="auto"/>
        <w:ind w:left="-142"/>
        <w:jc w:val="both"/>
        <w:rPr>
          <w:rFonts w:ascii="David" w:eastAsia="Calibri" w:hAnsi="David" w:cs="David"/>
          <w:sz w:val="24"/>
          <w:szCs w:val="24"/>
          <w:u w:val="single"/>
          <w:rtl/>
        </w:rPr>
      </w:pPr>
      <w:r w:rsidRPr="006129EF">
        <w:rPr>
          <w:rFonts w:ascii="David" w:eastAsia="Calibri" w:hAnsi="David" w:cs="David"/>
          <w:b/>
          <w:bCs/>
          <w:sz w:val="24"/>
          <w:szCs w:val="24"/>
          <w:u w:val="single"/>
          <w:rtl/>
        </w:rPr>
        <w:t>מן הדין אל הנדון:</w:t>
      </w:r>
    </w:p>
    <w:p w:rsidR="002B3668" w:rsidRPr="006129EF" w:rsidRDefault="002B3668" w:rsidP="002B3668">
      <w:pPr>
        <w:pStyle w:val="a9"/>
        <w:spacing w:after="0" w:line="360" w:lineRule="auto"/>
        <w:ind w:left="226"/>
        <w:jc w:val="both"/>
        <w:rPr>
          <w:rFonts w:ascii="David" w:eastAsia="Calibri" w:hAnsi="David" w:cs="David"/>
          <w:sz w:val="24"/>
          <w:szCs w:val="24"/>
          <w:u w:val="single"/>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tl/>
        </w:rPr>
      </w:pPr>
      <w:r>
        <w:rPr>
          <w:rFonts w:ascii="David" w:eastAsia="Calibri" w:hAnsi="David" w:cs="David"/>
          <w:sz w:val="24"/>
          <w:szCs w:val="24"/>
          <w:rtl/>
        </w:rPr>
        <w:t xml:space="preserve">כאמור, לטענת המבקשת, </w:t>
      </w:r>
      <w:r w:rsidRPr="006129EF">
        <w:rPr>
          <w:rFonts w:ascii="David" w:eastAsia="Calibri" w:hAnsi="David" w:cs="David"/>
          <w:sz w:val="24"/>
          <w:szCs w:val="24"/>
          <w:rtl/>
        </w:rPr>
        <w:t xml:space="preserve">נוכח תעודות הלידה של </w:t>
      </w:r>
      <w:r>
        <w:rPr>
          <w:rFonts w:ascii="David" w:eastAsia="Calibri" w:hAnsi="David" w:cs="David" w:hint="cs"/>
          <w:sz w:val="24"/>
          <w:szCs w:val="24"/>
          <w:rtl/>
        </w:rPr>
        <w:t>פלונית ואלמונית</w:t>
      </w:r>
      <w:r w:rsidRPr="006129EF">
        <w:rPr>
          <w:rFonts w:ascii="David" w:eastAsia="Calibri" w:hAnsi="David" w:cs="David"/>
          <w:sz w:val="24"/>
          <w:szCs w:val="24"/>
          <w:rtl/>
        </w:rPr>
        <w:t xml:space="preserve">, בהן נרשם כי הן רוסיות, יש לתקן את מרשם האוכלוסין כך שהמשיבים לא יהיו רשומים כיהודים. </w:t>
      </w:r>
    </w:p>
    <w:p w:rsidR="002B3668" w:rsidRPr="006129EF" w:rsidRDefault="002B3668" w:rsidP="002B3668">
      <w:pPr>
        <w:pStyle w:val="a9"/>
        <w:spacing w:after="0" w:line="360" w:lineRule="auto"/>
        <w:ind w:left="283"/>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על פי ההלכה המנחה, כנסקר לעיל, עלי לבחון האם הוכח בפניי ש</w:t>
      </w:r>
      <w:r>
        <w:rPr>
          <w:rFonts w:ascii="David" w:eastAsia="Calibri" w:hAnsi="David" w:cs="David" w:hint="cs"/>
          <w:sz w:val="24"/>
          <w:szCs w:val="24"/>
          <w:rtl/>
        </w:rPr>
        <w:t>פלונית</w:t>
      </w:r>
      <w:r w:rsidRPr="006129EF">
        <w:rPr>
          <w:rFonts w:ascii="David" w:eastAsia="Calibri" w:hAnsi="David" w:cs="David"/>
          <w:sz w:val="24"/>
          <w:szCs w:val="24"/>
          <w:rtl/>
        </w:rPr>
        <w:t xml:space="preserve"> לא נולדה לאם יהוד</w:t>
      </w:r>
      <w:r>
        <w:rPr>
          <w:rFonts w:ascii="David" w:eastAsia="Calibri" w:hAnsi="David" w:cs="David"/>
          <w:sz w:val="24"/>
          <w:szCs w:val="24"/>
          <w:rtl/>
        </w:rPr>
        <w:t xml:space="preserve">יה. ככל וייקבע כי הוכח בפניי </w:t>
      </w:r>
      <w:r>
        <w:rPr>
          <w:rFonts w:ascii="David" w:eastAsia="Calibri" w:hAnsi="David" w:cs="David" w:hint="cs"/>
          <w:sz w:val="24"/>
          <w:szCs w:val="24"/>
          <w:rtl/>
        </w:rPr>
        <w:t>שפלונית</w:t>
      </w:r>
      <w:r w:rsidRPr="006129EF">
        <w:rPr>
          <w:rFonts w:ascii="David" w:eastAsia="Calibri" w:hAnsi="David" w:cs="David"/>
          <w:sz w:val="24"/>
          <w:szCs w:val="24"/>
          <w:rtl/>
        </w:rPr>
        <w:t xml:space="preserve"> לא נולדה לאם יהודיה, הרי שגם </w:t>
      </w:r>
      <w:r>
        <w:rPr>
          <w:rFonts w:ascii="David" w:eastAsia="Calibri" w:hAnsi="David" w:cs="David" w:hint="cs"/>
          <w:sz w:val="24"/>
          <w:szCs w:val="24"/>
          <w:rtl/>
        </w:rPr>
        <w:t>אלמונית</w:t>
      </w:r>
      <w:r w:rsidRPr="006129EF">
        <w:rPr>
          <w:rFonts w:ascii="David" w:eastAsia="Calibri" w:hAnsi="David" w:cs="David"/>
          <w:sz w:val="24"/>
          <w:szCs w:val="24"/>
          <w:rtl/>
        </w:rPr>
        <w:t xml:space="preserve"> והנכדים לא נולדו לאם יהודיה.  </w:t>
      </w:r>
    </w:p>
    <w:p w:rsidR="002B3668" w:rsidRPr="006129EF" w:rsidRDefault="002B3668" w:rsidP="002B3668">
      <w:pPr>
        <w:pStyle w:val="a9"/>
        <w:spacing w:after="0" w:line="360" w:lineRule="auto"/>
        <w:ind w:left="283"/>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ייאמר כבר עתה כי </w:t>
      </w:r>
      <w:r w:rsidRPr="006129EF">
        <w:rPr>
          <w:rFonts w:ascii="David" w:eastAsia="Calibri" w:hAnsi="David" w:cs="David"/>
          <w:sz w:val="24"/>
          <w:szCs w:val="24"/>
          <w:u w:val="single"/>
          <w:rtl/>
        </w:rPr>
        <w:t>המבקשת לא הוכיחה ש</w:t>
      </w:r>
      <w:r>
        <w:rPr>
          <w:rFonts w:ascii="David" w:eastAsia="Calibri" w:hAnsi="David" w:cs="David" w:hint="cs"/>
          <w:sz w:val="24"/>
          <w:szCs w:val="24"/>
          <w:u w:val="single"/>
          <w:rtl/>
        </w:rPr>
        <w:t>פלונית</w:t>
      </w:r>
      <w:r w:rsidRPr="006129EF">
        <w:rPr>
          <w:rFonts w:ascii="David" w:eastAsia="Calibri" w:hAnsi="David" w:cs="David"/>
          <w:sz w:val="24"/>
          <w:szCs w:val="24"/>
          <w:u w:val="single"/>
          <w:rtl/>
        </w:rPr>
        <w:t xml:space="preserve"> אינה יהודיה</w:t>
      </w:r>
      <w:r w:rsidRPr="006129EF">
        <w:rPr>
          <w:rFonts w:ascii="David" w:eastAsia="Calibri" w:hAnsi="David" w:cs="David"/>
          <w:sz w:val="24"/>
          <w:szCs w:val="24"/>
          <w:rtl/>
        </w:rPr>
        <w:t>. ואלו נימוקיי.</w:t>
      </w:r>
    </w:p>
    <w:p w:rsidR="002B3668" w:rsidRPr="006129EF" w:rsidRDefault="002B3668" w:rsidP="002B3668">
      <w:pPr>
        <w:pStyle w:val="a9"/>
        <w:spacing w:after="0" w:line="360" w:lineRule="auto"/>
        <w:jc w:val="both"/>
        <w:rPr>
          <w:rFonts w:ascii="David" w:eastAsia="Calibri" w:hAnsi="David" w:cs="David"/>
          <w:sz w:val="24"/>
          <w:szCs w:val="24"/>
        </w:rPr>
      </w:pPr>
    </w:p>
    <w:p w:rsidR="002B3668" w:rsidRDefault="002B3668" w:rsidP="00E673B3">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u w:val="single"/>
          <w:rtl/>
        </w:rPr>
        <w:t>ראשית</w:t>
      </w:r>
      <w:r w:rsidRPr="006129EF">
        <w:rPr>
          <w:rFonts w:ascii="David" w:eastAsia="Calibri" w:hAnsi="David" w:cs="David"/>
          <w:sz w:val="24"/>
          <w:szCs w:val="24"/>
          <w:rtl/>
        </w:rPr>
        <w:t xml:space="preserve">, ניתן פסק דין מפי ביה"ד הרבני מיום 2.1.91 בתיק מס' </w:t>
      </w:r>
      <w:r w:rsidR="00E673B3">
        <w:rPr>
          <w:rFonts w:ascii="David" w:eastAsia="Calibri" w:hAnsi="David" w:cs="David" w:hint="cs"/>
          <w:sz w:val="24"/>
          <w:szCs w:val="24"/>
        </w:rPr>
        <w:t>XXX</w:t>
      </w:r>
      <w:r w:rsidRPr="006129EF">
        <w:rPr>
          <w:rFonts w:ascii="David" w:eastAsia="Calibri" w:hAnsi="David" w:cs="David"/>
          <w:sz w:val="24"/>
          <w:szCs w:val="24"/>
          <w:rtl/>
        </w:rPr>
        <w:t xml:space="preserve">, לפיו </w:t>
      </w:r>
      <w:r>
        <w:rPr>
          <w:rFonts w:ascii="David" w:eastAsia="Calibri" w:hAnsi="David" w:cs="David" w:hint="cs"/>
          <w:sz w:val="24"/>
          <w:szCs w:val="24"/>
          <w:rtl/>
        </w:rPr>
        <w:t>פלונית</w:t>
      </w:r>
      <w:r w:rsidRPr="006129EF">
        <w:rPr>
          <w:rFonts w:ascii="David" w:eastAsia="Calibri" w:hAnsi="David" w:cs="David"/>
          <w:sz w:val="24"/>
          <w:szCs w:val="24"/>
          <w:rtl/>
        </w:rPr>
        <w:t xml:space="preserve"> יהודייה. בפסק הדין נקבע כדלקמן:</w:t>
      </w:r>
    </w:p>
    <w:p w:rsidR="002B3668" w:rsidRPr="00E315B2" w:rsidRDefault="002B3668" w:rsidP="002B3668">
      <w:pPr>
        <w:pStyle w:val="a9"/>
        <w:rPr>
          <w:rFonts w:ascii="David" w:eastAsia="Calibri" w:hAnsi="David" w:cs="David"/>
          <w:sz w:val="24"/>
          <w:szCs w:val="24"/>
          <w:rtl/>
        </w:rPr>
      </w:pPr>
    </w:p>
    <w:p w:rsidR="002B3668" w:rsidRPr="00F02C22" w:rsidRDefault="00F02C22"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lastRenderedPageBreak/>
        <w:t>"</w:t>
      </w:r>
      <w:r w:rsidR="002B3668" w:rsidRPr="00F02C22">
        <w:rPr>
          <w:rFonts w:ascii="David" w:eastAsia="Calibri" w:hAnsi="David" w:cs="David" w:hint="cs"/>
          <w:b/>
          <w:bCs/>
          <w:sz w:val="24"/>
          <w:szCs w:val="24"/>
          <w:rtl/>
        </w:rPr>
        <w:t>בפני כב' ביה"ד:</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 xml:space="preserve">הרב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xml:space="preserve"> , אב"ד</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 xml:space="preserve">הרב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חב"ד</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 xml:space="preserve">הרב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חב"ד</w:t>
      </w:r>
    </w:p>
    <w:p w:rsidR="002B3668" w:rsidRPr="00F02C22" w:rsidRDefault="002B3668" w:rsidP="002B3668">
      <w:pPr>
        <w:pStyle w:val="a9"/>
        <w:spacing w:after="0" w:line="360" w:lineRule="auto"/>
        <w:ind w:left="283"/>
        <w:jc w:val="both"/>
        <w:rPr>
          <w:rFonts w:ascii="David" w:eastAsia="Calibri" w:hAnsi="David" w:cs="David"/>
          <w:b/>
          <w:bCs/>
          <w:sz w:val="24"/>
          <w:szCs w:val="24"/>
          <w:rtl/>
        </w:rPr>
      </w:pP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 xml:space="preserve">המזכיר: </w:t>
      </w:r>
      <w:r w:rsidRPr="00F02C22">
        <w:rPr>
          <w:rFonts w:ascii="David" w:eastAsia="Calibri" w:hAnsi="David" w:cs="David" w:hint="cs"/>
          <w:b/>
          <w:bCs/>
          <w:sz w:val="24"/>
          <w:szCs w:val="24"/>
        </w:rPr>
        <w:t>XXX XXX</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 xml:space="preserve">בעניין המבקשים: </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 xml:space="preserve">א. האב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xml:space="preserve"> בן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xml:space="preserve"> ו </w:t>
      </w:r>
      <w:r w:rsidRPr="00F02C22">
        <w:rPr>
          <w:rFonts w:ascii="David" w:eastAsia="Calibri" w:hAnsi="David" w:cs="David" w:hint="cs"/>
          <w:b/>
          <w:bCs/>
          <w:sz w:val="24"/>
          <w:szCs w:val="24"/>
        </w:rPr>
        <w:t>XXX</w:t>
      </w:r>
    </w:p>
    <w:p w:rsidR="002B3668" w:rsidRPr="00F02C22" w:rsidRDefault="002B3668" w:rsidP="002B3668">
      <w:pPr>
        <w:pStyle w:val="a9"/>
        <w:spacing w:after="0" w:line="360" w:lineRule="auto"/>
        <w:ind w:left="283"/>
        <w:jc w:val="both"/>
        <w:rPr>
          <w:rFonts w:ascii="David" w:eastAsia="Calibri" w:hAnsi="David" w:cs="David"/>
          <w:b/>
          <w:bCs/>
          <w:sz w:val="24"/>
          <w:szCs w:val="24"/>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 xml:space="preserve">     ת.ז.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xml:space="preserve"> </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ב. פלונית</w:t>
      </w:r>
      <w:r w:rsidRPr="00F02C22">
        <w:rPr>
          <w:rFonts w:ascii="David" w:eastAsia="Calibri" w:hAnsi="David" w:cs="David" w:hint="cs"/>
          <w:b/>
          <w:bCs/>
          <w:sz w:val="24"/>
          <w:szCs w:val="24"/>
        </w:rPr>
        <w:t xml:space="preserve">XXX </w:t>
      </w:r>
      <w:r w:rsidRPr="00F02C22">
        <w:rPr>
          <w:rFonts w:ascii="David" w:eastAsia="Calibri" w:hAnsi="David" w:cs="David" w:hint="cs"/>
          <w:b/>
          <w:bCs/>
          <w:sz w:val="24"/>
          <w:szCs w:val="24"/>
          <w:rtl/>
        </w:rPr>
        <w:t xml:space="preserve"> בת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xml:space="preserve"> ו </w:t>
      </w:r>
      <w:r w:rsidRPr="00F02C22">
        <w:rPr>
          <w:rFonts w:ascii="David" w:eastAsia="Calibri" w:hAnsi="David" w:cs="David" w:hint="cs"/>
          <w:b/>
          <w:bCs/>
          <w:sz w:val="24"/>
          <w:szCs w:val="24"/>
        </w:rPr>
        <w:t>XXX</w:t>
      </w:r>
    </w:p>
    <w:p w:rsidR="002B3668" w:rsidRPr="00F02C22" w:rsidRDefault="002B3668" w:rsidP="002B3668">
      <w:pPr>
        <w:pStyle w:val="a9"/>
        <w:spacing w:after="0" w:line="360" w:lineRule="auto"/>
        <w:ind w:left="283"/>
        <w:jc w:val="both"/>
        <w:rPr>
          <w:rFonts w:ascii="David" w:eastAsia="Calibri" w:hAnsi="David" w:cs="David"/>
          <w:b/>
          <w:bCs/>
          <w:sz w:val="24"/>
          <w:szCs w:val="24"/>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 xml:space="preserve">    ת.ז. </w:t>
      </w:r>
      <w:r w:rsidRPr="00F02C22">
        <w:rPr>
          <w:rFonts w:ascii="David" w:eastAsia="Calibri" w:hAnsi="David" w:cs="David" w:hint="cs"/>
          <w:b/>
          <w:bCs/>
          <w:sz w:val="24"/>
          <w:szCs w:val="24"/>
        </w:rPr>
        <w:t>XXX</w:t>
      </w:r>
      <w:r w:rsidRPr="00F02C22">
        <w:rPr>
          <w:rFonts w:ascii="David" w:eastAsia="Calibri" w:hAnsi="David" w:cs="David" w:hint="cs"/>
          <w:b/>
          <w:bCs/>
          <w:sz w:val="24"/>
          <w:szCs w:val="24"/>
          <w:rtl/>
        </w:rPr>
        <w:t xml:space="preserve"> </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פסק דין לאשור יהדות</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w:t>
      </w:r>
    </w:p>
    <w:p w:rsidR="002B3668" w:rsidRPr="00F02C22" w:rsidRDefault="00F02C22" w:rsidP="002B3668">
      <w:pPr>
        <w:pStyle w:val="a9"/>
        <w:spacing w:after="0" w:line="360" w:lineRule="auto"/>
        <w:ind w:left="283"/>
        <w:jc w:val="both"/>
        <w:rPr>
          <w:rFonts w:ascii="David" w:eastAsia="Calibri" w:hAnsi="David" w:cs="David"/>
          <w:b/>
          <w:bCs/>
          <w:sz w:val="24"/>
          <w:szCs w:val="24"/>
          <w:rtl/>
        </w:rPr>
      </w:pPr>
      <w:r>
        <w:rPr>
          <w:rFonts w:ascii="David" w:eastAsia="Calibri" w:hAnsi="David" w:cs="David" w:hint="cs"/>
          <w:b/>
          <w:bCs/>
          <w:sz w:val="24"/>
          <w:szCs w:val="24"/>
          <w:rtl/>
        </w:rPr>
        <w:t>המבקשים הנ</w:t>
      </w:r>
      <w:r w:rsidR="002B3668" w:rsidRPr="00F02C22">
        <w:rPr>
          <w:rFonts w:ascii="David" w:eastAsia="Calibri" w:hAnsi="David" w:cs="David" w:hint="cs"/>
          <w:b/>
          <w:bCs/>
          <w:sz w:val="24"/>
          <w:szCs w:val="24"/>
          <w:rtl/>
        </w:rPr>
        <w:t xml:space="preserve">"ל הצהירו בביה"ד כי הם נולדו ברוסיה להורים יהודים שם התחתנו באורח </w:t>
      </w:r>
      <w:r>
        <w:rPr>
          <w:rFonts w:ascii="David" w:eastAsia="Calibri" w:hAnsi="David" w:cs="David" w:hint="cs"/>
          <w:b/>
          <w:bCs/>
          <w:sz w:val="24"/>
          <w:szCs w:val="24"/>
          <w:rtl/>
        </w:rPr>
        <w:t>אזרחי בשנת</w:t>
      </w:r>
      <w:r w:rsidR="002B3668" w:rsidRPr="00F02C22">
        <w:rPr>
          <w:rFonts w:ascii="David" w:eastAsia="Calibri" w:hAnsi="David" w:cs="David" w:hint="cs"/>
          <w:b/>
          <w:bCs/>
          <w:sz w:val="24"/>
          <w:szCs w:val="24"/>
          <w:rtl/>
        </w:rPr>
        <w:t xml:space="preserve"> 1973 ונולדו להם שתי בנות:</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 xml:space="preserve">אלמונית (16) והבת הנוספת (14) כולם עלו לאחרונה ארצה ומבקשים לאשר שהם יהודים. </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אחרי שהאמור לעיל התברר לביה"ד על יסוד גביית עדות, ביה"ד מאשר בזאת כי המבקשים הנ"ל הינם יהודים ויש לרשום בתעודת הזהות שלהם הלאום : "יהודי"</w:t>
      </w:r>
      <w:r w:rsidR="00F02C22">
        <w:rPr>
          <w:rFonts w:ascii="David" w:eastAsia="Calibri" w:hAnsi="David" w:cs="David" w:hint="cs"/>
          <w:b/>
          <w:bCs/>
          <w:sz w:val="24"/>
          <w:szCs w:val="24"/>
          <w:rtl/>
        </w:rPr>
        <w:t>.</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פסק דין זה ניתן ביום טו' טבת תשנ"א 2.1.92</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באנו על החתום:</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אב"ד (חתימה)</w:t>
      </w:r>
    </w:p>
    <w:p w:rsidR="002B3668" w:rsidRPr="00F02C22" w:rsidRDefault="002B3668" w:rsidP="002B3668">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b/>
          <w:bCs/>
          <w:sz w:val="24"/>
          <w:szCs w:val="24"/>
          <w:rtl/>
        </w:rPr>
        <w:tab/>
      </w:r>
      <w:r w:rsidRPr="00F02C22">
        <w:rPr>
          <w:rFonts w:ascii="David" w:eastAsia="Calibri" w:hAnsi="David" w:cs="David" w:hint="cs"/>
          <w:b/>
          <w:bCs/>
          <w:sz w:val="24"/>
          <w:szCs w:val="24"/>
          <w:rtl/>
        </w:rPr>
        <w:t>חב"ד (חתימה)</w:t>
      </w:r>
      <w:r w:rsidR="00F02C22">
        <w:rPr>
          <w:rFonts w:ascii="David" w:eastAsia="Calibri" w:hAnsi="David" w:cs="David" w:hint="cs"/>
          <w:b/>
          <w:bCs/>
          <w:sz w:val="24"/>
          <w:szCs w:val="24"/>
          <w:rtl/>
        </w:rPr>
        <w:t>".</w:t>
      </w:r>
    </w:p>
    <w:p w:rsidR="002B3668" w:rsidRPr="00E315B2" w:rsidRDefault="002B3668" w:rsidP="002B3668">
      <w:pPr>
        <w:pStyle w:val="a9"/>
        <w:spacing w:after="0" w:line="360" w:lineRule="auto"/>
        <w:ind w:left="283"/>
        <w:jc w:val="both"/>
        <w:rPr>
          <w:rFonts w:ascii="David" w:eastAsia="Calibri" w:hAnsi="David" w:cs="David"/>
          <w:sz w:val="24"/>
          <w:szCs w:val="24"/>
          <w:rtl/>
        </w:rPr>
      </w:pPr>
    </w:p>
    <w:p w:rsidR="002B3668" w:rsidRPr="006129EF" w:rsidRDefault="002B3668" w:rsidP="002B3668">
      <w:pPr>
        <w:pStyle w:val="a9"/>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יודגש כי ביה"ד הרבני קבע כי </w:t>
      </w:r>
      <w:r w:rsidRPr="006129EF">
        <w:rPr>
          <w:rFonts w:ascii="David" w:eastAsia="Calibri" w:hAnsi="David" w:cs="David"/>
          <w:b/>
          <w:bCs/>
          <w:sz w:val="24"/>
          <w:szCs w:val="24"/>
          <w:u w:val="single"/>
          <w:rtl/>
        </w:rPr>
        <w:t>התבר</w:t>
      </w:r>
      <w:r>
        <w:rPr>
          <w:rFonts w:ascii="David" w:eastAsia="Calibri" w:hAnsi="David" w:cs="David"/>
          <w:b/>
          <w:bCs/>
          <w:sz w:val="24"/>
          <w:szCs w:val="24"/>
          <w:u w:val="single"/>
          <w:rtl/>
        </w:rPr>
        <w:t xml:space="preserve">ר לביה"ד על יסוד גביית עדות כי </w:t>
      </w:r>
      <w:r>
        <w:rPr>
          <w:rFonts w:ascii="David" w:eastAsia="Calibri" w:hAnsi="David" w:cs="David" w:hint="cs"/>
          <w:b/>
          <w:bCs/>
          <w:sz w:val="24"/>
          <w:szCs w:val="24"/>
          <w:u w:val="single"/>
          <w:rtl/>
        </w:rPr>
        <w:t>פלונית</w:t>
      </w:r>
      <w:r w:rsidRPr="006129EF">
        <w:rPr>
          <w:rFonts w:ascii="David" w:eastAsia="Calibri" w:hAnsi="David" w:cs="David"/>
          <w:b/>
          <w:bCs/>
          <w:sz w:val="24"/>
          <w:szCs w:val="24"/>
          <w:u w:val="single"/>
          <w:rtl/>
        </w:rPr>
        <w:t xml:space="preserve"> ו</w:t>
      </w:r>
      <w:r>
        <w:rPr>
          <w:rFonts w:ascii="David" w:eastAsia="Calibri" w:hAnsi="David" w:cs="David" w:hint="cs"/>
          <w:b/>
          <w:bCs/>
          <w:sz w:val="24"/>
          <w:szCs w:val="24"/>
          <w:u w:val="single"/>
          <w:rtl/>
        </w:rPr>
        <w:t>האב</w:t>
      </w:r>
      <w:r w:rsidRPr="006129EF">
        <w:rPr>
          <w:rFonts w:ascii="David" w:eastAsia="Calibri" w:hAnsi="David" w:cs="David"/>
          <w:b/>
          <w:bCs/>
          <w:sz w:val="24"/>
          <w:szCs w:val="24"/>
          <w:u w:val="single"/>
          <w:rtl/>
        </w:rPr>
        <w:t xml:space="preserve"> יהודים</w:t>
      </w:r>
      <w:r w:rsidRPr="006129EF">
        <w:rPr>
          <w:rFonts w:ascii="David" w:eastAsia="Calibri" w:hAnsi="David" w:cs="David"/>
          <w:sz w:val="24"/>
          <w:szCs w:val="24"/>
          <w:rtl/>
        </w:rPr>
        <w:t>.</w:t>
      </w:r>
    </w:p>
    <w:p w:rsidR="002B3668" w:rsidRPr="006129EF" w:rsidRDefault="002B3668" w:rsidP="002B3668">
      <w:pPr>
        <w:pStyle w:val="a9"/>
        <w:spacing w:after="0" w:line="360" w:lineRule="auto"/>
        <w:ind w:left="368"/>
        <w:jc w:val="both"/>
        <w:rPr>
          <w:rFonts w:ascii="David" w:eastAsia="Calibri" w:hAnsi="David" w:cs="David"/>
          <w:sz w:val="24"/>
          <w:szCs w:val="24"/>
          <w:rtl/>
        </w:rPr>
      </w:pPr>
    </w:p>
    <w:p w:rsidR="002B3668" w:rsidRDefault="002B3668" w:rsidP="00F02C22">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יצוין כי פרוט' הדיון מיום 2.1.91 נכתב בכתב יד, ו</w:t>
      </w:r>
      <w:r>
        <w:rPr>
          <w:rFonts w:ascii="David" w:eastAsia="Calibri" w:hAnsi="David" w:cs="David" w:hint="cs"/>
          <w:sz w:val="24"/>
          <w:szCs w:val="24"/>
          <w:rtl/>
        </w:rPr>
        <w:t>פלונית</w:t>
      </w:r>
      <w:r w:rsidRPr="006129EF">
        <w:rPr>
          <w:rFonts w:ascii="David" w:eastAsia="Calibri" w:hAnsi="David" w:cs="David"/>
          <w:sz w:val="24"/>
          <w:szCs w:val="24"/>
          <w:rtl/>
        </w:rPr>
        <w:t>, בעמדתה לביה"ד הרבני (נספח "6" לת/1) אשר הוגשה במסגרת ההליך שננקט בביה"ד הרבני האזורי ב</w:t>
      </w:r>
      <w:r>
        <w:rPr>
          <w:rFonts w:ascii="David" w:eastAsia="Calibri" w:hAnsi="David" w:cs="David" w:hint="cs"/>
          <w:sz w:val="24"/>
          <w:szCs w:val="24"/>
        </w:rPr>
        <w:t>XXX</w:t>
      </w:r>
      <w:r w:rsidRPr="006129EF">
        <w:rPr>
          <w:rFonts w:ascii="David" w:eastAsia="Calibri" w:hAnsi="David" w:cs="David"/>
          <w:sz w:val="24"/>
          <w:szCs w:val="24"/>
          <w:rtl/>
        </w:rPr>
        <w:t xml:space="preserve">- </w:t>
      </w:r>
      <w:r w:rsidRPr="006129EF">
        <w:rPr>
          <w:rFonts w:ascii="David" w:hAnsi="David" w:cs="David"/>
          <w:sz w:val="24"/>
          <w:szCs w:val="24"/>
          <w:rtl/>
        </w:rPr>
        <w:t xml:space="preserve">תיק אישור יהדות (שמספרו </w:t>
      </w:r>
      <w:r w:rsidR="00F02C22">
        <w:rPr>
          <w:rFonts w:ascii="David" w:hAnsi="David" w:cs="David" w:hint="cs"/>
          <w:sz w:val="24"/>
          <w:szCs w:val="24"/>
        </w:rPr>
        <w:t>XXX</w:t>
      </w:r>
      <w:r w:rsidRPr="006129EF">
        <w:rPr>
          <w:rFonts w:ascii="David" w:hAnsi="David" w:cs="David"/>
          <w:sz w:val="24"/>
          <w:szCs w:val="24"/>
          <w:rtl/>
        </w:rPr>
        <w:t xml:space="preserve">) </w:t>
      </w:r>
      <w:r w:rsidRPr="006129EF">
        <w:rPr>
          <w:rFonts w:ascii="David" w:eastAsia="Calibri" w:hAnsi="David" w:cs="David"/>
          <w:sz w:val="24"/>
          <w:szCs w:val="24"/>
          <w:rtl/>
        </w:rPr>
        <w:t>פירטה את הנסיבות שהובילו למתן פסק הדין כדלקמן (בסעיפים 8-</w:t>
      </w:r>
      <w:r>
        <w:rPr>
          <w:rFonts w:ascii="David" w:eastAsia="Calibri" w:hAnsi="David" w:cs="David" w:hint="cs"/>
          <w:sz w:val="24"/>
          <w:szCs w:val="24"/>
          <w:rtl/>
        </w:rPr>
        <w:t>14</w:t>
      </w:r>
      <w:r w:rsidRPr="006129EF">
        <w:rPr>
          <w:rFonts w:ascii="David" w:eastAsia="Calibri" w:hAnsi="David" w:cs="David"/>
          <w:sz w:val="24"/>
          <w:szCs w:val="24"/>
          <w:rtl/>
        </w:rPr>
        <w:t>):</w:t>
      </w:r>
    </w:p>
    <w:p w:rsidR="00F02C22" w:rsidRPr="00F02C22" w:rsidRDefault="00F02C22" w:rsidP="00F02C22">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w:t>
      </w:r>
      <w:r w:rsidR="002B3668" w:rsidRPr="00F02C22">
        <w:rPr>
          <w:rFonts w:ascii="David" w:eastAsia="Calibri" w:hAnsi="David" w:cs="David" w:hint="cs"/>
          <w:b/>
          <w:bCs/>
          <w:sz w:val="24"/>
          <w:szCs w:val="24"/>
          <w:rtl/>
        </w:rPr>
        <w:t>8.</w:t>
      </w:r>
      <w:r w:rsidRPr="00F02C22">
        <w:rPr>
          <w:rFonts w:ascii="David" w:eastAsia="Calibri" w:hAnsi="David" w:cs="David" w:hint="cs"/>
          <w:b/>
          <w:bCs/>
          <w:sz w:val="24"/>
          <w:szCs w:val="24"/>
          <w:rtl/>
        </w:rPr>
        <w:t xml:space="preserve"> </w:t>
      </w:r>
      <w:r w:rsidR="002B3668" w:rsidRPr="00F02C22">
        <w:rPr>
          <w:rFonts w:ascii="David" w:eastAsia="Calibri" w:hAnsi="David" w:cs="David" w:hint="cs"/>
          <w:b/>
          <w:bCs/>
          <w:sz w:val="24"/>
          <w:szCs w:val="24"/>
          <w:rtl/>
        </w:rPr>
        <w:t xml:space="preserve">בזמנו ישב בבית הדין הרב </w:t>
      </w:r>
      <w:r w:rsidR="002B3668" w:rsidRPr="00F02C22">
        <w:rPr>
          <w:rFonts w:ascii="David" w:eastAsia="Calibri" w:hAnsi="David" w:cs="David" w:hint="cs"/>
          <w:b/>
          <w:bCs/>
          <w:sz w:val="24"/>
          <w:szCs w:val="24"/>
        </w:rPr>
        <w:t>XXX</w:t>
      </w:r>
      <w:r w:rsidR="002B3668" w:rsidRPr="00F02C22">
        <w:rPr>
          <w:rFonts w:ascii="David" w:eastAsia="Calibri" w:hAnsi="David" w:cs="David" w:hint="cs"/>
          <w:b/>
          <w:bCs/>
          <w:sz w:val="24"/>
          <w:szCs w:val="24"/>
          <w:rtl/>
        </w:rPr>
        <w:t xml:space="preserve"> ז"ל והרב</w:t>
      </w:r>
      <w:r w:rsidR="002B3668" w:rsidRPr="00F02C22">
        <w:rPr>
          <w:rFonts w:ascii="David" w:eastAsia="Calibri" w:hAnsi="David" w:cs="David" w:hint="cs"/>
          <w:b/>
          <w:bCs/>
          <w:sz w:val="24"/>
          <w:szCs w:val="24"/>
        </w:rPr>
        <w:t>XXX XXX</w:t>
      </w:r>
      <w:r w:rsidR="002B3668" w:rsidRPr="00F02C22">
        <w:rPr>
          <w:rFonts w:ascii="David" w:eastAsia="Calibri" w:hAnsi="David" w:cs="David"/>
          <w:b/>
          <w:bCs/>
          <w:sz w:val="24"/>
          <w:szCs w:val="24"/>
        </w:rPr>
        <w:t xml:space="preserve"> </w:t>
      </w:r>
      <w:r w:rsidR="002B3668" w:rsidRPr="00F02C22">
        <w:rPr>
          <w:rFonts w:ascii="David" w:eastAsia="Calibri" w:hAnsi="David" w:cs="David" w:hint="cs"/>
          <w:b/>
          <w:bCs/>
          <w:sz w:val="24"/>
          <w:szCs w:val="24"/>
          <w:rtl/>
        </w:rPr>
        <w:t xml:space="preserve"> האשה ובעלה שלא ידעו עברית כלל וכלל פנו לפקיד בית הדין ושאלו מה צריך להביא. </w:t>
      </w:r>
    </w:p>
    <w:p w:rsidR="002B3668" w:rsidRPr="00F02C22" w:rsidRDefault="00F02C22" w:rsidP="00F02C22">
      <w:pPr>
        <w:pStyle w:val="a9"/>
        <w:spacing w:after="0" w:line="360" w:lineRule="auto"/>
        <w:ind w:left="283"/>
        <w:jc w:val="both"/>
        <w:rPr>
          <w:rFonts w:ascii="David" w:eastAsia="Calibri" w:hAnsi="David" w:cs="David"/>
          <w:b/>
          <w:bCs/>
          <w:sz w:val="24"/>
          <w:szCs w:val="24"/>
          <w:rtl/>
        </w:rPr>
      </w:pPr>
      <w:r w:rsidRPr="00F02C22">
        <w:rPr>
          <w:rFonts w:ascii="David" w:eastAsia="Calibri" w:hAnsi="David" w:cs="David" w:hint="cs"/>
          <w:b/>
          <w:bCs/>
          <w:sz w:val="24"/>
          <w:szCs w:val="24"/>
          <w:rtl/>
        </w:rPr>
        <w:t>9</w:t>
      </w:r>
      <w:r w:rsidR="002B3668" w:rsidRPr="00F02C22">
        <w:rPr>
          <w:rFonts w:ascii="David" w:eastAsia="Calibri" w:hAnsi="David" w:cs="David" w:hint="cs"/>
          <w:b/>
          <w:bCs/>
          <w:sz w:val="24"/>
          <w:szCs w:val="24"/>
          <w:rtl/>
        </w:rPr>
        <w:t>.</w:t>
      </w:r>
      <w:r w:rsidRPr="00F02C22">
        <w:rPr>
          <w:rFonts w:ascii="David" w:eastAsia="Calibri" w:hAnsi="David" w:cs="David" w:hint="cs"/>
          <w:b/>
          <w:bCs/>
          <w:sz w:val="24"/>
          <w:szCs w:val="24"/>
          <w:rtl/>
        </w:rPr>
        <w:t xml:space="preserve"> </w:t>
      </w:r>
      <w:r w:rsidR="002B3668" w:rsidRPr="00F02C22">
        <w:rPr>
          <w:rFonts w:ascii="David" w:eastAsia="Calibri" w:hAnsi="David" w:cs="David" w:hint="cs"/>
          <w:b/>
          <w:bCs/>
          <w:sz w:val="24"/>
          <w:szCs w:val="24"/>
          <w:rtl/>
        </w:rPr>
        <w:t>לשם כך הביאה האשה עדים לבקשת בית הדין. המבקשים והעדים הופיעו בפני בית הדין בתאריך 2.1.1991 וז"ל הפרוטוקול (מצ"ב מסומן א)</w:t>
      </w:r>
    </w:p>
    <w:p w:rsidR="002B3668" w:rsidRDefault="002B3668" w:rsidP="002B3668">
      <w:pPr>
        <w:pStyle w:val="a9"/>
        <w:spacing w:after="0" w:line="360" w:lineRule="auto"/>
        <w:jc w:val="both"/>
        <w:rPr>
          <w:rFonts w:ascii="David" w:eastAsia="Calibri" w:hAnsi="David" w:cs="David"/>
          <w:b/>
          <w:bCs/>
          <w:sz w:val="24"/>
          <w:szCs w:val="24"/>
          <w:rtl/>
        </w:rPr>
      </w:pPr>
      <w:r>
        <w:rPr>
          <w:rFonts w:ascii="David" w:eastAsia="Calibri" w:hAnsi="David" w:cs="David"/>
          <w:sz w:val="24"/>
          <w:szCs w:val="24"/>
          <w:rtl/>
        </w:rPr>
        <w:tab/>
      </w:r>
      <w:r w:rsidRPr="00E315B2">
        <w:rPr>
          <w:rFonts w:ascii="David" w:eastAsia="Calibri" w:hAnsi="David" w:cs="David" w:hint="cs"/>
          <w:b/>
          <w:bCs/>
          <w:sz w:val="24"/>
          <w:szCs w:val="24"/>
          <w:rtl/>
        </w:rPr>
        <w:t xml:space="preserve">"הופיעו המבקשים </w:t>
      </w:r>
      <w:r>
        <w:rPr>
          <w:rFonts w:ascii="David" w:eastAsia="Calibri" w:hAnsi="David" w:cs="David" w:hint="cs"/>
          <w:b/>
          <w:bCs/>
          <w:sz w:val="24"/>
          <w:szCs w:val="24"/>
          <w:rtl/>
        </w:rPr>
        <w:t xml:space="preserve">הנ"ל ומצהירים </w:t>
      </w:r>
    </w:p>
    <w:p w:rsidR="002B3668" w:rsidRDefault="002B3668" w:rsidP="002B3668">
      <w:pPr>
        <w:pStyle w:val="a9"/>
        <w:spacing w:after="0" w:line="360" w:lineRule="auto"/>
        <w:ind w:left="1440" w:hanging="720"/>
        <w:jc w:val="both"/>
        <w:rPr>
          <w:rFonts w:ascii="David" w:eastAsia="Calibri" w:hAnsi="David" w:cs="David"/>
          <w:b/>
          <w:bCs/>
          <w:sz w:val="24"/>
          <w:szCs w:val="24"/>
          <w:rtl/>
        </w:rPr>
      </w:pPr>
      <w:r>
        <w:rPr>
          <w:rFonts w:ascii="David" w:eastAsia="Calibri" w:hAnsi="David" w:cs="David"/>
          <w:b/>
          <w:bCs/>
          <w:sz w:val="24"/>
          <w:szCs w:val="24"/>
          <w:rtl/>
        </w:rPr>
        <w:lastRenderedPageBreak/>
        <w:tab/>
      </w:r>
      <w:r>
        <w:rPr>
          <w:rFonts w:ascii="David" w:eastAsia="Calibri" w:hAnsi="David" w:cs="David" w:hint="cs"/>
          <w:b/>
          <w:bCs/>
          <w:sz w:val="24"/>
          <w:szCs w:val="24"/>
          <w:rtl/>
        </w:rPr>
        <w:t xml:space="preserve">המבקשת: אימי שמה </w:t>
      </w:r>
      <w:r>
        <w:rPr>
          <w:rFonts w:ascii="David" w:eastAsia="Calibri" w:hAnsi="David" w:cs="David" w:hint="cs"/>
          <w:b/>
          <w:bCs/>
          <w:sz w:val="24"/>
          <w:szCs w:val="24"/>
        </w:rPr>
        <w:t>XXX</w:t>
      </w:r>
      <w:r>
        <w:rPr>
          <w:rFonts w:ascii="David" w:eastAsia="Calibri" w:hAnsi="David" w:cs="David" w:hint="cs"/>
          <w:b/>
          <w:bCs/>
          <w:sz w:val="24"/>
          <w:szCs w:val="24"/>
          <w:rtl/>
        </w:rPr>
        <w:t xml:space="preserve"> וסבתא שלי מצד אימי </w:t>
      </w:r>
      <w:r>
        <w:rPr>
          <w:rFonts w:ascii="David" w:eastAsia="Calibri" w:hAnsi="David" w:cs="David" w:hint="cs"/>
          <w:b/>
          <w:bCs/>
          <w:sz w:val="24"/>
          <w:szCs w:val="24"/>
        </w:rPr>
        <w:t>XXX</w:t>
      </w:r>
      <w:r>
        <w:rPr>
          <w:rFonts w:ascii="David" w:eastAsia="Calibri" w:hAnsi="David" w:cs="David" w:hint="cs"/>
          <w:b/>
          <w:bCs/>
          <w:sz w:val="24"/>
          <w:szCs w:val="24"/>
          <w:rtl/>
        </w:rPr>
        <w:t xml:space="preserve"> שם אבי </w:t>
      </w:r>
      <w:r>
        <w:rPr>
          <w:rFonts w:ascii="David" w:eastAsia="Calibri" w:hAnsi="David" w:cs="David" w:hint="cs"/>
          <w:b/>
          <w:bCs/>
          <w:sz w:val="24"/>
          <w:szCs w:val="24"/>
        </w:rPr>
        <w:t>XXX</w:t>
      </w:r>
      <w:r>
        <w:rPr>
          <w:rFonts w:ascii="David" w:eastAsia="Calibri" w:hAnsi="David" w:cs="David" w:hint="cs"/>
          <w:b/>
          <w:bCs/>
          <w:sz w:val="24"/>
          <w:szCs w:val="24"/>
          <w:rtl/>
        </w:rPr>
        <w:t xml:space="preserve"> ואימו </w:t>
      </w:r>
      <w:r>
        <w:rPr>
          <w:rFonts w:ascii="David" w:eastAsia="Calibri" w:hAnsi="David" w:cs="David" w:hint="cs"/>
          <w:b/>
          <w:bCs/>
          <w:sz w:val="24"/>
          <w:szCs w:val="24"/>
        </w:rPr>
        <w:t>XXX</w:t>
      </w:r>
      <w:r>
        <w:rPr>
          <w:rFonts w:ascii="David" w:eastAsia="Calibri" w:hAnsi="David" w:cs="David" w:hint="cs"/>
          <w:b/>
          <w:bCs/>
          <w:sz w:val="24"/>
          <w:szCs w:val="24"/>
          <w:rtl/>
        </w:rPr>
        <w:t xml:space="preserve"> יהודים. אכלנו מצות בפסח ביום כיפור צמנו, התחתנתי עם בעלי הנ"ל באופן אזרחי הוא יהודי יש לנו שתי בנות אלמונית והבת הנוספת (14) + (16)</w:t>
      </w:r>
    </w:p>
    <w:p w:rsidR="002B3668" w:rsidRDefault="002B3668" w:rsidP="002B3668">
      <w:pPr>
        <w:pStyle w:val="a9"/>
        <w:spacing w:after="0" w:line="360" w:lineRule="auto"/>
        <w:ind w:left="1440" w:hanging="720"/>
        <w:jc w:val="both"/>
        <w:rPr>
          <w:rFonts w:ascii="David" w:eastAsia="Calibri" w:hAnsi="David" w:cs="David"/>
          <w:b/>
          <w:bCs/>
          <w:sz w:val="24"/>
          <w:szCs w:val="24"/>
          <w:rtl/>
        </w:rPr>
      </w:pPr>
      <w:r>
        <w:rPr>
          <w:rFonts w:ascii="David" w:eastAsia="Calibri" w:hAnsi="David" w:cs="David"/>
          <w:b/>
          <w:bCs/>
          <w:sz w:val="24"/>
          <w:szCs w:val="24"/>
          <w:rtl/>
        </w:rPr>
        <w:tab/>
      </w:r>
      <w:r>
        <w:rPr>
          <w:rFonts w:ascii="David" w:eastAsia="Calibri" w:hAnsi="David" w:cs="David" w:hint="cs"/>
          <w:b/>
          <w:bCs/>
          <w:sz w:val="24"/>
          <w:szCs w:val="24"/>
          <w:rtl/>
        </w:rPr>
        <w:t xml:space="preserve">המבקש: שם אבי </w:t>
      </w:r>
      <w:r>
        <w:rPr>
          <w:rFonts w:ascii="David" w:eastAsia="Calibri" w:hAnsi="David" w:cs="David" w:hint="cs"/>
          <w:b/>
          <w:bCs/>
          <w:sz w:val="24"/>
          <w:szCs w:val="24"/>
        </w:rPr>
        <w:t>XXX</w:t>
      </w:r>
      <w:r>
        <w:rPr>
          <w:rFonts w:ascii="David" w:eastAsia="Calibri" w:hAnsi="David" w:cs="David" w:hint="cs"/>
          <w:b/>
          <w:bCs/>
          <w:sz w:val="24"/>
          <w:szCs w:val="24"/>
          <w:rtl/>
        </w:rPr>
        <w:t xml:space="preserve"> יהודי שם אימו </w:t>
      </w:r>
      <w:r>
        <w:rPr>
          <w:rFonts w:ascii="David" w:eastAsia="Calibri" w:hAnsi="David" w:cs="David" w:hint="cs"/>
          <w:b/>
          <w:bCs/>
          <w:sz w:val="24"/>
          <w:szCs w:val="24"/>
        </w:rPr>
        <w:t>XXX</w:t>
      </w:r>
      <w:r>
        <w:rPr>
          <w:rFonts w:ascii="David" w:eastAsia="Calibri" w:hAnsi="David" w:cs="David" w:hint="cs"/>
          <w:b/>
          <w:bCs/>
          <w:sz w:val="24"/>
          <w:szCs w:val="24"/>
          <w:rtl/>
        </w:rPr>
        <w:t xml:space="preserve"> הסבתא לא זוכר נהרגו במלחמה. אני נשוי לאשתי הנ"ל באופן אזרחי אבי בארץ הרבה שנים. יש לנו שתי בנות, אבי היה מתפלל שמרנו חגים אימי נפטרה בחו"ל. </w:t>
      </w:r>
    </w:p>
    <w:p w:rsidR="002B3668" w:rsidRPr="00E315B2" w:rsidRDefault="002B3668" w:rsidP="002B3668">
      <w:pPr>
        <w:pStyle w:val="a9"/>
        <w:spacing w:after="0" w:line="360" w:lineRule="auto"/>
        <w:ind w:left="1440" w:hanging="720"/>
        <w:jc w:val="both"/>
        <w:rPr>
          <w:rFonts w:ascii="David" w:eastAsia="Calibri" w:hAnsi="David" w:cs="David"/>
          <w:b/>
          <w:bCs/>
          <w:sz w:val="24"/>
          <w:szCs w:val="24"/>
          <w:rtl/>
        </w:rPr>
      </w:pPr>
      <w:r>
        <w:rPr>
          <w:rFonts w:ascii="David" w:eastAsia="Calibri" w:hAnsi="David" w:cs="David" w:hint="cs"/>
          <w:b/>
          <w:bCs/>
          <w:sz w:val="24"/>
          <w:szCs w:val="24"/>
          <w:rtl/>
        </w:rPr>
        <w:tab/>
        <w:t>מבקשים פס"ד לאישור יהדותם.</w:t>
      </w:r>
    </w:p>
    <w:p w:rsidR="002B3668" w:rsidRPr="00E315B2" w:rsidRDefault="002B3668" w:rsidP="002B3668">
      <w:pPr>
        <w:pStyle w:val="a9"/>
        <w:spacing w:after="0" w:line="360" w:lineRule="auto"/>
        <w:ind w:left="283"/>
        <w:jc w:val="both"/>
        <w:rPr>
          <w:rFonts w:ascii="David" w:eastAsia="Calibri" w:hAnsi="David" w:cs="David"/>
          <w:b/>
          <w:bCs/>
          <w:sz w:val="24"/>
          <w:szCs w:val="24"/>
          <w:rtl/>
        </w:rPr>
      </w:pPr>
      <w:r w:rsidRPr="00E315B2">
        <w:rPr>
          <w:rFonts w:ascii="David" w:eastAsia="Calibri" w:hAnsi="David" w:cs="David"/>
          <w:b/>
          <w:bCs/>
          <w:sz w:val="24"/>
          <w:szCs w:val="24"/>
          <w:rtl/>
        </w:rPr>
        <w:tab/>
      </w:r>
      <w:r w:rsidRPr="00E315B2">
        <w:rPr>
          <w:rFonts w:ascii="David" w:eastAsia="Calibri" w:hAnsi="David" w:cs="David" w:hint="cs"/>
          <w:b/>
          <w:bCs/>
          <w:sz w:val="24"/>
          <w:szCs w:val="24"/>
          <w:rtl/>
        </w:rPr>
        <w:tab/>
        <w:t>הופיעו העדים:</w:t>
      </w:r>
    </w:p>
    <w:p w:rsidR="002B3668" w:rsidRDefault="002B3668" w:rsidP="002B3668">
      <w:pPr>
        <w:pStyle w:val="a9"/>
        <w:spacing w:after="0" w:line="360" w:lineRule="auto"/>
        <w:ind w:left="283"/>
        <w:jc w:val="both"/>
        <w:rPr>
          <w:rFonts w:ascii="David" w:eastAsia="Calibri" w:hAnsi="David" w:cs="David"/>
          <w:b/>
          <w:bCs/>
          <w:sz w:val="24"/>
          <w:szCs w:val="24"/>
          <w:rtl/>
        </w:rPr>
      </w:pPr>
      <w:r w:rsidRPr="00E315B2">
        <w:rPr>
          <w:rFonts w:ascii="David" w:eastAsia="Calibri" w:hAnsi="David" w:cs="David"/>
          <w:b/>
          <w:bCs/>
          <w:sz w:val="24"/>
          <w:szCs w:val="24"/>
          <w:rtl/>
        </w:rPr>
        <w:tab/>
      </w:r>
      <w:r w:rsidRPr="00E315B2">
        <w:rPr>
          <w:rFonts w:ascii="David" w:eastAsia="Calibri" w:hAnsi="David" w:cs="David"/>
          <w:b/>
          <w:bCs/>
          <w:sz w:val="24"/>
          <w:szCs w:val="24"/>
          <w:rtl/>
        </w:rPr>
        <w:tab/>
      </w:r>
      <w:r w:rsidRPr="00E315B2">
        <w:rPr>
          <w:rFonts w:ascii="David" w:eastAsia="Calibri" w:hAnsi="David" w:cs="David" w:hint="cs"/>
          <w:b/>
          <w:bCs/>
          <w:sz w:val="24"/>
          <w:szCs w:val="24"/>
          <w:rtl/>
        </w:rPr>
        <w:t>א.</w:t>
      </w:r>
      <w:r>
        <w:rPr>
          <w:rFonts w:ascii="David" w:eastAsia="Calibri" w:hAnsi="David" w:cs="David" w:hint="cs"/>
          <w:b/>
          <w:bCs/>
          <w:sz w:val="24"/>
          <w:szCs w:val="24"/>
          <w:rtl/>
        </w:rPr>
        <w:t xml:space="preserve"> </w:t>
      </w:r>
      <w:r>
        <w:rPr>
          <w:rFonts w:ascii="David" w:eastAsia="Calibri" w:hAnsi="David" w:cs="David" w:hint="cs"/>
          <w:b/>
          <w:bCs/>
          <w:sz w:val="24"/>
          <w:szCs w:val="24"/>
        </w:rPr>
        <w:t>XXX XXX</w:t>
      </w:r>
    </w:p>
    <w:p w:rsidR="002B3668" w:rsidRDefault="002B3668" w:rsidP="002B3668">
      <w:pPr>
        <w:pStyle w:val="a9"/>
        <w:spacing w:after="0" w:line="360" w:lineRule="auto"/>
        <w:ind w:left="283"/>
        <w:jc w:val="both"/>
        <w:rPr>
          <w:rFonts w:ascii="David" w:eastAsia="Calibri" w:hAnsi="David" w:cs="David"/>
          <w:b/>
          <w:bCs/>
          <w:sz w:val="24"/>
          <w:szCs w:val="24"/>
          <w:rtl/>
        </w:rPr>
      </w:pPr>
      <w:r w:rsidRPr="00E315B2">
        <w:rPr>
          <w:rFonts w:ascii="David" w:eastAsia="Calibri" w:hAnsi="David" w:cs="David"/>
          <w:b/>
          <w:bCs/>
          <w:sz w:val="24"/>
          <w:szCs w:val="24"/>
          <w:rtl/>
        </w:rPr>
        <w:tab/>
      </w:r>
      <w:r w:rsidRPr="00E315B2">
        <w:rPr>
          <w:rFonts w:ascii="David" w:eastAsia="Calibri" w:hAnsi="David" w:cs="David"/>
          <w:b/>
          <w:bCs/>
          <w:sz w:val="24"/>
          <w:szCs w:val="24"/>
          <w:rtl/>
        </w:rPr>
        <w:tab/>
      </w:r>
      <w:r>
        <w:rPr>
          <w:rFonts w:ascii="David" w:eastAsia="Calibri" w:hAnsi="David" w:cs="David" w:hint="cs"/>
          <w:b/>
          <w:bCs/>
          <w:sz w:val="24"/>
          <w:szCs w:val="24"/>
          <w:rtl/>
        </w:rPr>
        <w:t xml:space="preserve">ב. </w:t>
      </w:r>
      <w:r>
        <w:rPr>
          <w:rFonts w:ascii="David" w:eastAsia="Calibri" w:hAnsi="David" w:cs="David" w:hint="cs"/>
          <w:b/>
          <w:bCs/>
          <w:sz w:val="24"/>
          <w:szCs w:val="24"/>
        </w:rPr>
        <w:t xml:space="preserve"> XXX XXX</w:t>
      </w:r>
    </w:p>
    <w:p w:rsidR="002B3668" w:rsidRDefault="002B3668" w:rsidP="002B3668">
      <w:pPr>
        <w:pStyle w:val="a9"/>
        <w:spacing w:after="0" w:line="360" w:lineRule="auto"/>
        <w:ind w:left="283"/>
        <w:jc w:val="both"/>
        <w:rPr>
          <w:rFonts w:ascii="David" w:eastAsia="Calibri" w:hAnsi="David" w:cs="David"/>
          <w:b/>
          <w:bCs/>
          <w:sz w:val="24"/>
          <w:szCs w:val="24"/>
          <w:rtl/>
        </w:rPr>
      </w:pPr>
      <w:r>
        <w:rPr>
          <w:rFonts w:ascii="David" w:eastAsia="Calibri" w:hAnsi="David" w:cs="David"/>
          <w:b/>
          <w:bCs/>
          <w:sz w:val="24"/>
          <w:szCs w:val="24"/>
          <w:rtl/>
        </w:rPr>
        <w:tab/>
      </w:r>
      <w:r>
        <w:rPr>
          <w:rFonts w:ascii="David" w:eastAsia="Calibri" w:hAnsi="David" w:cs="David"/>
          <w:b/>
          <w:bCs/>
          <w:sz w:val="24"/>
          <w:szCs w:val="24"/>
          <w:rtl/>
        </w:rPr>
        <w:tab/>
      </w:r>
      <w:r>
        <w:rPr>
          <w:rFonts w:ascii="David" w:eastAsia="Calibri" w:hAnsi="David" w:cs="David" w:hint="cs"/>
          <w:b/>
          <w:bCs/>
          <w:sz w:val="24"/>
          <w:szCs w:val="24"/>
          <w:rtl/>
        </w:rPr>
        <w:t>לאחר שהוזהרו מעידים לחוד:</w:t>
      </w:r>
    </w:p>
    <w:p w:rsidR="002B3668" w:rsidRDefault="002B3668" w:rsidP="002B3668">
      <w:pPr>
        <w:pStyle w:val="a9"/>
        <w:spacing w:after="0" w:line="360" w:lineRule="auto"/>
        <w:ind w:left="1440" w:hanging="1157"/>
        <w:jc w:val="both"/>
        <w:rPr>
          <w:rFonts w:ascii="David" w:eastAsia="Calibri" w:hAnsi="David" w:cs="David"/>
          <w:b/>
          <w:bCs/>
          <w:sz w:val="24"/>
          <w:szCs w:val="24"/>
          <w:rtl/>
        </w:rPr>
      </w:pPr>
      <w:r>
        <w:rPr>
          <w:rFonts w:ascii="David" w:eastAsia="Calibri" w:hAnsi="David" w:cs="David"/>
          <w:b/>
          <w:bCs/>
          <w:sz w:val="24"/>
          <w:szCs w:val="24"/>
          <w:rtl/>
        </w:rPr>
        <w:tab/>
      </w:r>
      <w:r>
        <w:rPr>
          <w:rFonts w:ascii="David" w:eastAsia="Calibri" w:hAnsi="David" w:cs="David" w:hint="cs"/>
          <w:b/>
          <w:bCs/>
          <w:sz w:val="24"/>
          <w:szCs w:val="24"/>
          <w:rtl/>
        </w:rPr>
        <w:t>אני מכיר את בני הזוג הנ"ל הכרתי את ההורים של המבקשת שהם יהודים ב</w:t>
      </w:r>
      <w:r>
        <w:rPr>
          <w:rFonts w:ascii="David" w:eastAsia="Calibri" w:hAnsi="David" w:cs="David" w:hint="cs"/>
          <w:b/>
          <w:bCs/>
          <w:sz w:val="24"/>
          <w:szCs w:val="24"/>
        </w:rPr>
        <w:t>XXX</w:t>
      </w:r>
      <w:r>
        <w:rPr>
          <w:rFonts w:ascii="David" w:eastAsia="Calibri" w:hAnsi="David" w:cs="David" w:hint="cs"/>
          <w:b/>
          <w:bCs/>
          <w:sz w:val="24"/>
          <w:szCs w:val="24"/>
          <w:rtl/>
        </w:rPr>
        <w:t xml:space="preserve"> לגבי הבעל מתוך השמועה אני יודע שהוא יהודי. </w:t>
      </w:r>
    </w:p>
    <w:p w:rsidR="002B3668" w:rsidRDefault="002B3668" w:rsidP="002B3668">
      <w:pPr>
        <w:pStyle w:val="a9"/>
        <w:spacing w:after="0" w:line="360" w:lineRule="auto"/>
        <w:ind w:left="1440" w:hanging="1157"/>
        <w:jc w:val="both"/>
        <w:rPr>
          <w:rFonts w:ascii="David" w:eastAsia="Calibri" w:hAnsi="David" w:cs="David"/>
          <w:b/>
          <w:bCs/>
          <w:sz w:val="24"/>
          <w:szCs w:val="24"/>
          <w:rtl/>
        </w:rPr>
      </w:pPr>
    </w:p>
    <w:p w:rsidR="002B3668" w:rsidRDefault="002B3668" w:rsidP="002B3668">
      <w:pPr>
        <w:pStyle w:val="a9"/>
        <w:spacing w:after="0" w:line="360" w:lineRule="auto"/>
        <w:ind w:left="1440" w:hanging="1157"/>
        <w:jc w:val="both"/>
        <w:rPr>
          <w:rFonts w:ascii="David" w:eastAsia="Calibri" w:hAnsi="David" w:cs="David"/>
          <w:b/>
          <w:bCs/>
          <w:sz w:val="24"/>
          <w:szCs w:val="24"/>
          <w:rtl/>
        </w:rPr>
      </w:pPr>
      <w:r>
        <w:rPr>
          <w:rFonts w:ascii="David" w:eastAsia="Calibri" w:hAnsi="David" w:cs="David"/>
          <w:b/>
          <w:bCs/>
          <w:sz w:val="24"/>
          <w:szCs w:val="24"/>
          <w:rtl/>
        </w:rPr>
        <w:tab/>
      </w:r>
      <w:r>
        <w:rPr>
          <w:rFonts w:ascii="David" w:eastAsia="Calibri" w:hAnsi="David" w:cs="David" w:hint="cs"/>
          <w:b/>
          <w:bCs/>
          <w:sz w:val="24"/>
          <w:szCs w:val="24"/>
          <w:rtl/>
        </w:rPr>
        <w:t xml:space="preserve">העד השני מכיר את המבקשת מרוסיה ויודע היטב שהם יהודים כשרים לגבי האיש אינו מכיר". </w:t>
      </w:r>
    </w:p>
    <w:p w:rsidR="002B3668" w:rsidRPr="00735E6D" w:rsidRDefault="00182F87" w:rsidP="002B3668">
      <w:pPr>
        <w:pStyle w:val="a9"/>
        <w:spacing w:after="0" w:line="360" w:lineRule="auto"/>
        <w:ind w:left="283"/>
        <w:jc w:val="both"/>
        <w:rPr>
          <w:rFonts w:ascii="David" w:eastAsia="Calibri" w:hAnsi="David" w:cs="David"/>
          <w:b/>
          <w:bCs/>
          <w:sz w:val="24"/>
          <w:szCs w:val="24"/>
          <w:rtl/>
        </w:rPr>
      </w:pPr>
      <w:r>
        <w:rPr>
          <w:rFonts w:ascii="David" w:eastAsia="Calibri" w:hAnsi="David" w:cs="David" w:hint="cs"/>
          <w:b/>
          <w:bCs/>
          <w:sz w:val="24"/>
          <w:szCs w:val="24"/>
          <w:rtl/>
        </w:rPr>
        <w:t xml:space="preserve">10. </w:t>
      </w:r>
      <w:r w:rsidR="002B3668" w:rsidRPr="00735E6D">
        <w:rPr>
          <w:rFonts w:ascii="David" w:eastAsia="Calibri" w:hAnsi="David" w:cs="David" w:hint="cs"/>
          <w:b/>
          <w:bCs/>
          <w:sz w:val="24"/>
          <w:szCs w:val="24"/>
          <w:rtl/>
        </w:rPr>
        <w:t>לאחר הדיון נתן בית הדין החלטה וז"ל</w:t>
      </w:r>
    </w:p>
    <w:p w:rsidR="00182F87" w:rsidRDefault="002B3668" w:rsidP="00182F87">
      <w:pPr>
        <w:pStyle w:val="a9"/>
        <w:spacing w:after="0" w:line="360" w:lineRule="auto"/>
        <w:ind w:left="1440" w:hanging="1157"/>
        <w:jc w:val="both"/>
        <w:rPr>
          <w:rFonts w:ascii="David" w:eastAsia="Calibri" w:hAnsi="David" w:cs="David"/>
          <w:b/>
          <w:bCs/>
          <w:sz w:val="24"/>
          <w:szCs w:val="24"/>
          <w:rtl/>
        </w:rPr>
      </w:pPr>
      <w:r w:rsidRPr="00735E6D">
        <w:rPr>
          <w:rFonts w:ascii="David" w:eastAsia="Calibri" w:hAnsi="David" w:cs="David"/>
          <w:b/>
          <w:bCs/>
          <w:sz w:val="24"/>
          <w:szCs w:val="24"/>
          <w:rtl/>
        </w:rPr>
        <w:tab/>
      </w:r>
      <w:r w:rsidRPr="00735E6D">
        <w:rPr>
          <w:rFonts w:ascii="David" w:eastAsia="Calibri" w:hAnsi="David" w:cs="David" w:hint="cs"/>
          <w:b/>
          <w:bCs/>
          <w:sz w:val="24"/>
          <w:szCs w:val="24"/>
          <w:rtl/>
        </w:rPr>
        <w:t>"לאחר עוד עד מטעם המבקש שמכירו שהוא ומשפחתו יהודים ראוי שאביו יופיע ולאחר עדותו יוצא פס"ד לאישור יהדות כמבוקש".</w:t>
      </w:r>
    </w:p>
    <w:p w:rsidR="002B3668" w:rsidRPr="00182F87" w:rsidRDefault="002B3668" w:rsidP="00182F87">
      <w:pPr>
        <w:pStyle w:val="a9"/>
        <w:spacing w:after="0" w:line="360" w:lineRule="auto"/>
        <w:ind w:left="283"/>
        <w:jc w:val="both"/>
        <w:rPr>
          <w:rFonts w:ascii="David" w:eastAsia="Calibri" w:hAnsi="David" w:cs="David"/>
          <w:b/>
          <w:bCs/>
          <w:sz w:val="24"/>
          <w:szCs w:val="24"/>
          <w:rtl/>
        </w:rPr>
      </w:pPr>
      <w:r w:rsidRPr="00182F87">
        <w:rPr>
          <w:rFonts w:ascii="David" w:eastAsia="Calibri" w:hAnsi="David" w:cs="David" w:hint="cs"/>
          <w:b/>
          <w:bCs/>
          <w:sz w:val="24"/>
          <w:szCs w:val="24"/>
          <w:rtl/>
        </w:rPr>
        <w:t>11.</w:t>
      </w:r>
      <w:r w:rsidR="00182F87">
        <w:rPr>
          <w:rFonts w:ascii="David" w:eastAsia="Calibri" w:hAnsi="David" w:cs="David" w:hint="cs"/>
          <w:b/>
          <w:bCs/>
          <w:sz w:val="24"/>
          <w:szCs w:val="24"/>
          <w:rtl/>
        </w:rPr>
        <w:t xml:space="preserve"> </w:t>
      </w:r>
      <w:r w:rsidRPr="00182F87">
        <w:rPr>
          <w:rFonts w:ascii="David" w:eastAsia="Calibri" w:hAnsi="David" w:cs="David" w:hint="cs"/>
          <w:b/>
          <w:bCs/>
          <w:sz w:val="24"/>
          <w:szCs w:val="24"/>
          <w:rtl/>
        </w:rPr>
        <w:t>בית הדין הוסיף וביקש להביא לעדות גם את אביו של הבע</w:t>
      </w:r>
      <w:r w:rsidR="00182F87">
        <w:rPr>
          <w:rFonts w:ascii="David" w:eastAsia="Calibri" w:hAnsi="David" w:cs="David" w:hint="cs"/>
          <w:b/>
          <w:bCs/>
          <w:sz w:val="24"/>
          <w:szCs w:val="24"/>
          <w:rtl/>
        </w:rPr>
        <w:t xml:space="preserve">ל לעדות וגם הוא הגיע להעיד בפני </w:t>
      </w:r>
      <w:r w:rsidRPr="00182F87">
        <w:rPr>
          <w:rFonts w:ascii="David" w:eastAsia="Calibri" w:hAnsi="David" w:cs="David" w:hint="cs"/>
          <w:b/>
          <w:bCs/>
          <w:sz w:val="24"/>
          <w:szCs w:val="24"/>
          <w:rtl/>
        </w:rPr>
        <w:t xml:space="preserve">בית הדין והעיד שכלתו יהודייה. וז"ל הפרוטוקול </w:t>
      </w:r>
    </w:p>
    <w:p w:rsidR="002B3668" w:rsidRPr="00735E6D" w:rsidRDefault="002B3668" w:rsidP="00F20047">
      <w:pPr>
        <w:pStyle w:val="a9"/>
        <w:spacing w:after="0" w:line="360" w:lineRule="auto"/>
        <w:ind w:left="1440" w:hanging="1157"/>
        <w:jc w:val="both"/>
        <w:rPr>
          <w:rFonts w:ascii="David" w:eastAsia="Calibri" w:hAnsi="David" w:cs="David"/>
          <w:b/>
          <w:bCs/>
          <w:sz w:val="24"/>
          <w:szCs w:val="24"/>
          <w:rtl/>
        </w:rPr>
      </w:pPr>
      <w:r w:rsidRPr="00735E6D">
        <w:rPr>
          <w:rFonts w:ascii="David" w:eastAsia="Calibri" w:hAnsi="David" w:cs="David"/>
          <w:b/>
          <w:bCs/>
          <w:sz w:val="24"/>
          <w:szCs w:val="24"/>
          <w:rtl/>
        </w:rPr>
        <w:tab/>
      </w:r>
      <w:r w:rsidRPr="00735E6D">
        <w:rPr>
          <w:rFonts w:ascii="David" w:eastAsia="Calibri" w:hAnsi="David" w:cs="David" w:hint="cs"/>
          <w:b/>
          <w:bCs/>
          <w:sz w:val="24"/>
          <w:szCs w:val="24"/>
          <w:rtl/>
        </w:rPr>
        <w:t xml:space="preserve">"הופיע אבי המבקש </w:t>
      </w:r>
      <w:r w:rsidRPr="00735E6D">
        <w:rPr>
          <w:rFonts w:ascii="David" w:eastAsia="Calibri" w:hAnsi="David" w:cs="David" w:hint="cs"/>
          <w:b/>
          <w:bCs/>
          <w:sz w:val="24"/>
          <w:szCs w:val="24"/>
        </w:rPr>
        <w:t>XXX XXX</w:t>
      </w:r>
      <w:r w:rsidRPr="00735E6D">
        <w:rPr>
          <w:rFonts w:ascii="David" w:eastAsia="Calibri" w:hAnsi="David" w:cs="David" w:hint="cs"/>
          <w:b/>
          <w:bCs/>
          <w:sz w:val="24"/>
          <w:szCs w:val="24"/>
          <w:rtl/>
        </w:rPr>
        <w:t xml:space="preserve"> מ</w:t>
      </w:r>
      <w:r w:rsidRPr="00735E6D">
        <w:rPr>
          <w:rFonts w:ascii="David" w:eastAsia="Calibri" w:hAnsi="David" w:cs="David" w:hint="cs"/>
          <w:b/>
          <w:bCs/>
          <w:sz w:val="24"/>
          <w:szCs w:val="24"/>
        </w:rPr>
        <w:t>XXX XXX</w:t>
      </w:r>
      <w:r w:rsidRPr="00735E6D">
        <w:rPr>
          <w:rFonts w:ascii="David" w:eastAsia="Calibri" w:hAnsi="David" w:cs="David" w:hint="cs"/>
          <w:b/>
          <w:bCs/>
          <w:sz w:val="24"/>
          <w:szCs w:val="24"/>
          <w:rtl/>
        </w:rPr>
        <w:t xml:space="preserve"> ולאחר ...ביה"ד (באידיש) המבקש הוא בני הוא נימול, אישתי היתה יהודייה כשרה נפטרה בני זה הוא נשוי עם פלונית יהודיה. אני בארץ משנת 1979 היתה לי אשה שניה שהתגרשתי ממנה אבל אם בני נפטרה"</w:t>
      </w:r>
    </w:p>
    <w:p w:rsidR="002B3668" w:rsidRPr="00735E6D" w:rsidRDefault="00F20047" w:rsidP="00F20047">
      <w:pPr>
        <w:pStyle w:val="a9"/>
        <w:spacing w:after="0" w:line="360" w:lineRule="auto"/>
        <w:ind w:left="283"/>
        <w:jc w:val="both"/>
        <w:rPr>
          <w:rFonts w:ascii="David" w:eastAsia="Calibri" w:hAnsi="David" w:cs="David"/>
          <w:b/>
          <w:bCs/>
          <w:sz w:val="24"/>
          <w:szCs w:val="24"/>
          <w:u w:val="single"/>
          <w:rtl/>
        </w:rPr>
      </w:pPr>
      <w:r>
        <w:rPr>
          <w:rFonts w:ascii="David" w:eastAsia="Calibri" w:hAnsi="David" w:cs="David" w:hint="cs"/>
          <w:b/>
          <w:bCs/>
          <w:sz w:val="24"/>
          <w:szCs w:val="24"/>
          <w:rtl/>
        </w:rPr>
        <w:t xml:space="preserve">12. </w:t>
      </w:r>
      <w:r w:rsidR="002B3668" w:rsidRPr="00735E6D">
        <w:rPr>
          <w:rFonts w:ascii="David" w:eastAsia="Calibri" w:hAnsi="David" w:cs="David" w:hint="cs"/>
          <w:b/>
          <w:bCs/>
          <w:sz w:val="24"/>
          <w:szCs w:val="24"/>
          <w:u w:val="single"/>
          <w:rtl/>
        </w:rPr>
        <w:t>יצוין כי קיים פרוטוקול הד</w:t>
      </w:r>
      <w:r>
        <w:rPr>
          <w:rFonts w:ascii="David" w:eastAsia="Calibri" w:hAnsi="David" w:cs="David" w:hint="cs"/>
          <w:b/>
          <w:bCs/>
          <w:sz w:val="24"/>
          <w:szCs w:val="24"/>
          <w:u w:val="single"/>
          <w:rtl/>
        </w:rPr>
        <w:t>יון בכתב יד, למותר לציין כי פרו</w:t>
      </w:r>
      <w:r w:rsidR="002B3668" w:rsidRPr="00735E6D">
        <w:rPr>
          <w:rFonts w:ascii="David" w:eastAsia="Calibri" w:hAnsi="David" w:cs="David" w:hint="cs"/>
          <w:b/>
          <w:bCs/>
          <w:sz w:val="24"/>
          <w:szCs w:val="24"/>
          <w:u w:val="single"/>
          <w:rtl/>
        </w:rPr>
        <w:t>טו</w:t>
      </w:r>
      <w:r>
        <w:rPr>
          <w:rFonts w:ascii="David" w:eastAsia="Calibri" w:hAnsi="David" w:cs="David" w:hint="cs"/>
          <w:b/>
          <w:bCs/>
          <w:sz w:val="24"/>
          <w:szCs w:val="24"/>
          <w:u w:val="single"/>
          <w:rtl/>
        </w:rPr>
        <w:t>קו</w:t>
      </w:r>
      <w:r w:rsidR="002B3668" w:rsidRPr="00735E6D">
        <w:rPr>
          <w:rFonts w:ascii="David" w:eastAsia="Calibri" w:hAnsi="David" w:cs="David" w:hint="cs"/>
          <w:b/>
          <w:bCs/>
          <w:sz w:val="24"/>
          <w:szCs w:val="24"/>
          <w:u w:val="single"/>
          <w:rtl/>
        </w:rPr>
        <w:t xml:space="preserve">ל הדיון אינו משקף אחת לאחת את הנאמר בדיון ויש להבין שבית הדין התרשם מהעדים עצמם מאופן העדות ומדבריהם. </w:t>
      </w:r>
    </w:p>
    <w:p w:rsidR="002B3668" w:rsidRPr="00735E6D" w:rsidRDefault="00F20047" w:rsidP="00F20047">
      <w:pPr>
        <w:pStyle w:val="a9"/>
        <w:spacing w:after="0" w:line="360" w:lineRule="auto"/>
        <w:ind w:left="283"/>
        <w:jc w:val="both"/>
        <w:rPr>
          <w:rFonts w:ascii="David" w:eastAsia="Calibri" w:hAnsi="David" w:cs="David"/>
          <w:b/>
          <w:bCs/>
          <w:sz w:val="24"/>
          <w:szCs w:val="24"/>
          <w:rtl/>
        </w:rPr>
      </w:pPr>
      <w:r>
        <w:rPr>
          <w:rFonts w:ascii="David" w:eastAsia="Calibri" w:hAnsi="David" w:cs="David" w:hint="cs"/>
          <w:b/>
          <w:bCs/>
          <w:sz w:val="24"/>
          <w:szCs w:val="24"/>
          <w:rtl/>
        </w:rPr>
        <w:t xml:space="preserve">13. </w:t>
      </w:r>
      <w:r w:rsidR="002B3668" w:rsidRPr="00735E6D">
        <w:rPr>
          <w:rFonts w:ascii="David" w:eastAsia="Calibri" w:hAnsi="David" w:cs="David" w:hint="cs"/>
          <w:b/>
          <w:bCs/>
          <w:sz w:val="24"/>
          <w:szCs w:val="24"/>
          <w:rtl/>
        </w:rPr>
        <w:t>עוד יצויין כי אחת העדויות ניתנה ב</w:t>
      </w:r>
      <w:r>
        <w:rPr>
          <w:rFonts w:ascii="David" w:eastAsia="Calibri" w:hAnsi="David" w:cs="David" w:hint="cs"/>
          <w:b/>
          <w:bCs/>
          <w:sz w:val="24"/>
          <w:szCs w:val="24"/>
          <w:rtl/>
        </w:rPr>
        <w:t>א</w:t>
      </w:r>
      <w:r w:rsidR="002B3668" w:rsidRPr="00735E6D">
        <w:rPr>
          <w:rFonts w:ascii="David" w:eastAsia="Calibri" w:hAnsi="David" w:cs="David" w:hint="cs"/>
          <w:b/>
          <w:bCs/>
          <w:sz w:val="24"/>
          <w:szCs w:val="24"/>
          <w:rtl/>
        </w:rPr>
        <w:t>יד</w:t>
      </w:r>
      <w:r>
        <w:rPr>
          <w:rFonts w:ascii="David" w:eastAsia="Calibri" w:hAnsi="David" w:cs="David" w:hint="cs"/>
          <w:b/>
          <w:bCs/>
          <w:sz w:val="24"/>
          <w:szCs w:val="24"/>
          <w:rtl/>
        </w:rPr>
        <w:t>י</w:t>
      </w:r>
      <w:r w:rsidR="002B3668" w:rsidRPr="00735E6D">
        <w:rPr>
          <w:rFonts w:ascii="David" w:eastAsia="Calibri" w:hAnsi="David" w:cs="David" w:hint="cs"/>
          <w:b/>
          <w:bCs/>
          <w:sz w:val="24"/>
          <w:szCs w:val="24"/>
          <w:rtl/>
        </w:rPr>
        <w:t>ש כפי שעולה מפרוטוקול הדיון ותורגמה לעברית כך שאין ספק כי הדברים לא נ</w:t>
      </w:r>
      <w:r>
        <w:rPr>
          <w:rFonts w:ascii="David" w:eastAsia="Calibri" w:hAnsi="David" w:cs="David" w:hint="cs"/>
          <w:b/>
          <w:bCs/>
          <w:sz w:val="24"/>
          <w:szCs w:val="24"/>
          <w:rtl/>
        </w:rPr>
        <w:t>רש</w:t>
      </w:r>
      <w:r w:rsidR="002B3668" w:rsidRPr="00735E6D">
        <w:rPr>
          <w:rFonts w:ascii="David" w:eastAsia="Calibri" w:hAnsi="David" w:cs="David" w:hint="cs"/>
          <w:b/>
          <w:bCs/>
          <w:sz w:val="24"/>
          <w:szCs w:val="24"/>
          <w:rtl/>
        </w:rPr>
        <w:t xml:space="preserve">מו בפרוטוקול ובית הדין התרשם לחיוב מחקירת כל עד ועד בפני עצמו ומדברים המבקשים. </w:t>
      </w:r>
    </w:p>
    <w:p w:rsidR="002B3668" w:rsidRPr="00735E6D" w:rsidRDefault="00F20047" w:rsidP="00F20047">
      <w:pPr>
        <w:pStyle w:val="a9"/>
        <w:spacing w:after="0" w:line="360" w:lineRule="auto"/>
        <w:ind w:left="283"/>
        <w:jc w:val="both"/>
        <w:rPr>
          <w:rFonts w:ascii="David" w:eastAsia="Calibri" w:hAnsi="David" w:cs="David"/>
          <w:b/>
          <w:bCs/>
          <w:sz w:val="24"/>
          <w:szCs w:val="24"/>
          <w:rtl/>
        </w:rPr>
      </w:pPr>
      <w:r>
        <w:rPr>
          <w:rFonts w:ascii="David" w:eastAsia="Calibri" w:hAnsi="David" w:cs="David" w:hint="cs"/>
          <w:b/>
          <w:bCs/>
          <w:sz w:val="24"/>
          <w:szCs w:val="24"/>
          <w:rtl/>
        </w:rPr>
        <w:t xml:space="preserve">14. </w:t>
      </w:r>
      <w:r w:rsidR="002B3668" w:rsidRPr="00735E6D">
        <w:rPr>
          <w:rFonts w:ascii="David" w:eastAsia="Calibri" w:hAnsi="David" w:cs="David" w:hint="cs"/>
          <w:b/>
          <w:bCs/>
          <w:sz w:val="24"/>
          <w:szCs w:val="24"/>
          <w:rtl/>
        </w:rPr>
        <w:t>ואכן בסופו של דיון נתן בית הדין החלה וז"ל</w:t>
      </w:r>
    </w:p>
    <w:p w:rsidR="002B3668" w:rsidRPr="00735E6D" w:rsidRDefault="002B3668" w:rsidP="002B3668">
      <w:pPr>
        <w:pStyle w:val="a9"/>
        <w:spacing w:after="0" w:line="360" w:lineRule="auto"/>
        <w:ind w:left="1440" w:hanging="720"/>
        <w:jc w:val="both"/>
        <w:rPr>
          <w:rFonts w:ascii="David" w:eastAsia="Calibri" w:hAnsi="David" w:cs="David"/>
          <w:b/>
          <w:bCs/>
          <w:sz w:val="24"/>
          <w:szCs w:val="24"/>
          <w:rtl/>
        </w:rPr>
      </w:pPr>
      <w:r w:rsidRPr="00735E6D">
        <w:rPr>
          <w:rFonts w:ascii="David" w:eastAsia="Calibri" w:hAnsi="David" w:cs="David"/>
          <w:b/>
          <w:bCs/>
          <w:sz w:val="24"/>
          <w:szCs w:val="24"/>
          <w:rtl/>
        </w:rPr>
        <w:tab/>
      </w:r>
      <w:r w:rsidRPr="00735E6D">
        <w:rPr>
          <w:rFonts w:ascii="David" w:eastAsia="Calibri" w:hAnsi="David" w:cs="David"/>
          <w:b/>
          <w:bCs/>
          <w:sz w:val="24"/>
          <w:szCs w:val="24"/>
          <w:rtl/>
        </w:rPr>
        <w:tab/>
      </w:r>
      <w:r w:rsidRPr="00735E6D">
        <w:rPr>
          <w:rFonts w:ascii="David" w:eastAsia="Calibri" w:hAnsi="David" w:cs="David" w:hint="cs"/>
          <w:b/>
          <w:bCs/>
          <w:sz w:val="24"/>
          <w:szCs w:val="24"/>
          <w:rtl/>
        </w:rPr>
        <w:t>"לאור העדויות שבתיק בית הדין מאשר שהנ"ל הינם יהודים"</w:t>
      </w:r>
    </w:p>
    <w:p w:rsidR="002B3668" w:rsidRPr="00735E6D" w:rsidRDefault="002B3668" w:rsidP="002B3668">
      <w:pPr>
        <w:pStyle w:val="a9"/>
        <w:spacing w:after="0" w:line="360" w:lineRule="auto"/>
        <w:ind w:left="283"/>
        <w:jc w:val="both"/>
        <w:rPr>
          <w:rFonts w:ascii="David" w:eastAsia="Calibri" w:hAnsi="David" w:cs="David"/>
          <w:b/>
          <w:bCs/>
          <w:sz w:val="24"/>
          <w:szCs w:val="24"/>
          <w:rtl/>
        </w:rPr>
      </w:pPr>
    </w:p>
    <w:p w:rsidR="002B3668" w:rsidRPr="006129EF" w:rsidRDefault="002B3668" w:rsidP="002B3668">
      <w:pPr>
        <w:pStyle w:val="a9"/>
        <w:spacing w:after="0" w:line="360" w:lineRule="auto"/>
        <w:ind w:left="283"/>
        <w:jc w:val="both"/>
        <w:rPr>
          <w:rFonts w:ascii="David" w:eastAsia="Calibri" w:hAnsi="David" w:cs="David"/>
          <w:sz w:val="24"/>
          <w:szCs w:val="24"/>
          <w:rtl/>
        </w:rPr>
      </w:pPr>
    </w:p>
    <w:p w:rsidR="002B3668" w:rsidRPr="006129EF" w:rsidRDefault="002B3668" w:rsidP="002B3668">
      <w:pPr>
        <w:pStyle w:val="a9"/>
        <w:spacing w:after="0" w:line="360" w:lineRule="auto"/>
        <w:ind w:left="283"/>
        <w:jc w:val="both"/>
        <w:rPr>
          <w:rFonts w:ascii="David" w:hAnsi="David" w:cs="David"/>
          <w:sz w:val="24"/>
          <w:szCs w:val="24"/>
        </w:rPr>
      </w:pPr>
      <w:r w:rsidRPr="006129EF">
        <w:rPr>
          <w:rFonts w:ascii="David" w:eastAsia="Calibri" w:hAnsi="David" w:cs="David"/>
          <w:sz w:val="24"/>
          <w:szCs w:val="24"/>
          <w:rtl/>
        </w:rPr>
        <w:lastRenderedPageBreak/>
        <w:t>ייאמר כי לדידי, כל עוד</w:t>
      </w:r>
      <w:r w:rsidRPr="006129EF">
        <w:rPr>
          <w:rFonts w:ascii="David" w:hAnsi="David" w:cs="David"/>
          <w:sz w:val="24"/>
          <w:szCs w:val="24"/>
          <w:rtl/>
        </w:rPr>
        <w:t xml:space="preserve"> פסק הדין מיום 2.1.91 לא בוטל/שונה/תוקן, </w:t>
      </w:r>
      <w:r w:rsidRPr="006129EF">
        <w:rPr>
          <w:rFonts w:ascii="David" w:hAnsi="David" w:cs="David"/>
          <w:b/>
          <w:bCs/>
          <w:sz w:val="24"/>
          <w:szCs w:val="24"/>
          <w:u w:val="single"/>
          <w:rtl/>
        </w:rPr>
        <w:t>הוא עומד על כנו.</w:t>
      </w:r>
      <w:r w:rsidRPr="006129EF">
        <w:rPr>
          <w:rFonts w:ascii="David" w:hAnsi="David" w:cs="David"/>
          <w:sz w:val="24"/>
          <w:szCs w:val="24"/>
          <w:rtl/>
        </w:rPr>
        <w:t xml:space="preserve"> דהיינו, על פי פסק דין מפי ביה"ד הרבני, </w:t>
      </w:r>
      <w:r>
        <w:rPr>
          <w:rFonts w:ascii="David" w:hAnsi="David" w:cs="David" w:hint="cs"/>
          <w:sz w:val="24"/>
          <w:szCs w:val="24"/>
          <w:rtl/>
        </w:rPr>
        <w:t>פלונית</w:t>
      </w:r>
      <w:r w:rsidRPr="006129EF">
        <w:rPr>
          <w:rFonts w:ascii="David" w:hAnsi="David" w:cs="David"/>
          <w:sz w:val="24"/>
          <w:szCs w:val="24"/>
          <w:rtl/>
        </w:rPr>
        <w:t xml:space="preserve"> היא יהודיה. הדרך לבטל את פסק הדין היא באמצעות פנייה לערכאה שנתנה אותו. </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 xml:space="preserve">בהקשר זה ייאמר כי אין בכוונתי להידרש לטענות המבקשת לעניין פסק הדין מיום 2.1.91 (לרבות הטענה לפיה האם הוצגו לביה"ד תעודות הלידה של </w:t>
      </w:r>
      <w:r>
        <w:rPr>
          <w:rFonts w:ascii="David" w:hAnsi="David" w:cs="David" w:hint="cs"/>
          <w:sz w:val="24"/>
          <w:szCs w:val="24"/>
          <w:rtl/>
        </w:rPr>
        <w:t>פלונית</w:t>
      </w:r>
      <w:r w:rsidRPr="006129EF">
        <w:rPr>
          <w:rFonts w:ascii="David" w:hAnsi="David" w:cs="David"/>
          <w:sz w:val="24"/>
          <w:szCs w:val="24"/>
          <w:rtl/>
        </w:rPr>
        <w:t xml:space="preserve"> ו</w:t>
      </w:r>
      <w:r>
        <w:rPr>
          <w:rFonts w:ascii="David" w:hAnsi="David" w:cs="David" w:hint="cs"/>
          <w:sz w:val="24"/>
          <w:szCs w:val="24"/>
          <w:rtl/>
        </w:rPr>
        <w:t>הבת הנוספת</w:t>
      </w:r>
      <w:r w:rsidRPr="006129EF">
        <w:rPr>
          <w:rFonts w:ascii="David" w:hAnsi="David" w:cs="David"/>
          <w:sz w:val="24"/>
          <w:szCs w:val="24"/>
          <w:rtl/>
        </w:rPr>
        <w:t xml:space="preserve"> בטרם מתן פסק הדין אם לאו) שכן אני סבורה כי האכסניה המתאימה לבחינת הטענות היא הערכאה אשר נתנה את פסק הדין.</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u w:val="single"/>
          <w:rtl/>
        </w:rPr>
        <w:t>שנית</w:t>
      </w:r>
      <w:r w:rsidRPr="006129EF">
        <w:rPr>
          <w:rFonts w:ascii="David" w:eastAsia="Calibri" w:hAnsi="David" w:cs="David"/>
          <w:sz w:val="24"/>
          <w:szCs w:val="24"/>
          <w:rtl/>
        </w:rPr>
        <w:t xml:space="preserve">, גרסתה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לעניין יהדותה נותרה עקבית משנת 1990 ועד היום.  </w:t>
      </w:r>
    </w:p>
    <w:p w:rsidR="002B3668" w:rsidRPr="006129EF" w:rsidRDefault="002B3668" w:rsidP="002B3668">
      <w:pPr>
        <w:pStyle w:val="a9"/>
        <w:spacing w:after="0" w:line="360" w:lineRule="auto"/>
        <w:ind w:left="283"/>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כמפורט לעיל, על פי החומר שבתיק,</w:t>
      </w:r>
      <w:r>
        <w:rPr>
          <w:rFonts w:ascii="David" w:eastAsia="Calibri" w:hAnsi="David" w:cs="David" w:hint="cs"/>
          <w:sz w:val="24"/>
          <w:szCs w:val="24"/>
          <w:rtl/>
        </w:rPr>
        <w:t xml:space="preserve"> פלונית</w:t>
      </w:r>
      <w:r w:rsidRPr="006129EF">
        <w:rPr>
          <w:rFonts w:ascii="David" w:eastAsia="Calibri" w:hAnsi="David" w:cs="David"/>
          <w:sz w:val="24"/>
          <w:szCs w:val="24"/>
          <w:rtl/>
        </w:rPr>
        <w:t xml:space="preserve"> טענה כבר בשנת 1990 שהיא יהודיה, כאשר ה</w:t>
      </w:r>
      <w:r>
        <w:rPr>
          <w:rFonts w:ascii="David" w:eastAsia="Calibri" w:hAnsi="David" w:cs="David"/>
          <w:sz w:val="24"/>
          <w:szCs w:val="24"/>
          <w:rtl/>
        </w:rPr>
        <w:t>דיון בביה"ד התקיים ביום 2.1.91</w:t>
      </w:r>
      <w:r>
        <w:rPr>
          <w:rFonts w:ascii="David" w:eastAsia="Calibri" w:hAnsi="David" w:cs="David" w:hint="cs"/>
          <w:sz w:val="24"/>
          <w:szCs w:val="24"/>
          <w:rtl/>
        </w:rPr>
        <w:t xml:space="preserve">. </w:t>
      </w:r>
      <w:r>
        <w:rPr>
          <w:rFonts w:ascii="David" w:eastAsia="Calibri" w:hAnsi="David" w:cs="David"/>
          <w:sz w:val="24"/>
          <w:szCs w:val="24"/>
          <w:rtl/>
        </w:rPr>
        <w:t xml:space="preserve">מכאן עולה </w:t>
      </w:r>
      <w:r>
        <w:rPr>
          <w:rFonts w:ascii="David" w:eastAsia="Calibri" w:hAnsi="David" w:cs="David" w:hint="cs"/>
          <w:sz w:val="24"/>
          <w:szCs w:val="24"/>
          <w:rtl/>
        </w:rPr>
        <w:t>ש</w:t>
      </w:r>
      <w:r w:rsidRPr="006129EF">
        <w:rPr>
          <w:rFonts w:ascii="David" w:eastAsia="Calibri" w:hAnsi="David" w:cs="David"/>
          <w:sz w:val="24"/>
          <w:szCs w:val="24"/>
          <w:rtl/>
        </w:rPr>
        <w:t xml:space="preserve">תביעתה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לאישור יהדות הוגשה עוד בשנת 1990, כאשר יושם אל הלב כי הפנייה לביה"</w:t>
      </w:r>
      <w:r>
        <w:rPr>
          <w:rFonts w:ascii="David" w:eastAsia="Calibri" w:hAnsi="David" w:cs="David"/>
          <w:sz w:val="24"/>
          <w:szCs w:val="24"/>
          <w:rtl/>
        </w:rPr>
        <w:t xml:space="preserve">ד הרבני נעשתה בסמוך לעלייתה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(ובעלה ובנותיה) לארץ- ביום 15.9.90.</w:t>
      </w:r>
    </w:p>
    <w:p w:rsidR="002B3668" w:rsidRPr="006129EF" w:rsidRDefault="002B3668" w:rsidP="002B3668">
      <w:pPr>
        <w:pStyle w:val="a9"/>
        <w:spacing w:after="0" w:line="360" w:lineRule="auto"/>
        <w:jc w:val="both"/>
        <w:rPr>
          <w:rFonts w:ascii="David" w:eastAsia="Calibri" w:hAnsi="David" w:cs="David"/>
          <w:sz w:val="24"/>
          <w:szCs w:val="24"/>
        </w:rPr>
      </w:pPr>
    </w:p>
    <w:p w:rsidR="002B3668"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בהמשך, ביום 25.11.1997 ניתן פסק דין נוסף על ידי ביה"ד הרבני בב</w:t>
      </w:r>
      <w:r>
        <w:rPr>
          <w:rFonts w:ascii="David" w:eastAsia="Calibri" w:hAnsi="David" w:cs="David"/>
          <w:sz w:val="24"/>
          <w:szCs w:val="24"/>
          <w:rtl/>
        </w:rPr>
        <w:t xml:space="preserve">קשה שהוגשה לביה"ד הרבני על ידי </w:t>
      </w:r>
      <w:r>
        <w:rPr>
          <w:rFonts w:ascii="David" w:eastAsia="Calibri" w:hAnsi="David" w:cs="David" w:hint="cs"/>
          <w:sz w:val="24"/>
          <w:szCs w:val="24"/>
          <w:rtl/>
        </w:rPr>
        <w:t>אלמונית</w:t>
      </w:r>
      <w:r w:rsidRPr="006129EF">
        <w:rPr>
          <w:rFonts w:ascii="David" w:eastAsia="Calibri" w:hAnsi="David" w:cs="David"/>
          <w:sz w:val="24"/>
          <w:szCs w:val="24"/>
          <w:rtl/>
        </w:rPr>
        <w:t xml:space="preserve"> לאישור רווקות ויהדות (סומן נספח "1" לת/1), אשר קבע כדלקמן: </w:t>
      </w:r>
    </w:p>
    <w:p w:rsidR="002B3668" w:rsidRPr="00FC218E" w:rsidRDefault="00FC218E" w:rsidP="00FC218E">
      <w:pPr>
        <w:pStyle w:val="a9"/>
        <w:spacing w:after="0" w:line="360" w:lineRule="auto"/>
        <w:ind w:left="283"/>
        <w:jc w:val="both"/>
        <w:rPr>
          <w:rFonts w:ascii="David" w:eastAsia="Calibri" w:hAnsi="David" w:cs="David"/>
          <w:b/>
          <w:bCs/>
          <w:sz w:val="24"/>
          <w:szCs w:val="24"/>
          <w:rtl/>
        </w:rPr>
      </w:pPr>
      <w:r w:rsidRPr="00FC218E">
        <w:rPr>
          <w:rFonts w:ascii="David" w:eastAsia="Calibri" w:hAnsi="David" w:cs="David" w:hint="cs"/>
          <w:b/>
          <w:bCs/>
          <w:sz w:val="24"/>
          <w:szCs w:val="24"/>
          <w:rtl/>
        </w:rPr>
        <w:t>"</w:t>
      </w:r>
      <w:r w:rsidR="002B3668" w:rsidRPr="00FC218E">
        <w:rPr>
          <w:rFonts w:ascii="David" w:eastAsia="Calibri" w:hAnsi="David" w:cs="David" w:hint="cs"/>
          <w:b/>
          <w:bCs/>
          <w:sz w:val="24"/>
          <w:szCs w:val="24"/>
          <w:rtl/>
        </w:rPr>
        <w:t>על סמך העדויות והמסמכים שבתיק, קובע בית הדין:</w:t>
      </w:r>
    </w:p>
    <w:p w:rsidR="002B3668" w:rsidRPr="00FC218E" w:rsidRDefault="002B3668" w:rsidP="002B3668">
      <w:pPr>
        <w:pStyle w:val="a9"/>
        <w:spacing w:after="0" w:line="360" w:lineRule="auto"/>
        <w:ind w:left="283"/>
        <w:jc w:val="both"/>
        <w:rPr>
          <w:rFonts w:ascii="David" w:eastAsia="Calibri" w:hAnsi="David" w:cs="David"/>
          <w:b/>
          <w:bCs/>
          <w:sz w:val="24"/>
          <w:szCs w:val="24"/>
          <w:rtl/>
        </w:rPr>
      </w:pPr>
      <w:r w:rsidRPr="00FC218E">
        <w:rPr>
          <w:rFonts w:ascii="David" w:eastAsia="Calibri" w:hAnsi="David" w:cs="David" w:hint="cs"/>
          <w:b/>
          <w:bCs/>
          <w:sz w:val="24"/>
          <w:szCs w:val="24"/>
          <w:rtl/>
        </w:rPr>
        <w:t xml:space="preserve">המבקשת: </w:t>
      </w:r>
      <w:r w:rsidRPr="00FC218E">
        <w:rPr>
          <w:rFonts w:ascii="David" w:eastAsia="Calibri" w:hAnsi="David" w:cs="David" w:hint="cs"/>
          <w:b/>
          <w:bCs/>
          <w:sz w:val="24"/>
          <w:szCs w:val="24"/>
        </w:rPr>
        <w:t xml:space="preserve">XXX </w:t>
      </w:r>
      <w:r w:rsidRPr="00FC218E">
        <w:rPr>
          <w:rFonts w:ascii="David" w:eastAsia="Calibri" w:hAnsi="David" w:cs="David" w:hint="cs"/>
          <w:b/>
          <w:bCs/>
          <w:sz w:val="24"/>
          <w:szCs w:val="24"/>
          <w:rtl/>
        </w:rPr>
        <w:t xml:space="preserve"> אלמונית</w:t>
      </w:r>
    </w:p>
    <w:p w:rsidR="002B3668" w:rsidRPr="00FC218E" w:rsidRDefault="002B3668" w:rsidP="002B3668">
      <w:pPr>
        <w:pStyle w:val="a9"/>
        <w:spacing w:after="0" w:line="360" w:lineRule="auto"/>
        <w:ind w:left="283"/>
        <w:jc w:val="both"/>
        <w:rPr>
          <w:rFonts w:ascii="David" w:eastAsia="Calibri" w:hAnsi="David" w:cs="David"/>
          <w:b/>
          <w:bCs/>
          <w:sz w:val="24"/>
          <w:szCs w:val="24"/>
          <w:rtl/>
        </w:rPr>
      </w:pPr>
      <w:r w:rsidRPr="00FC218E">
        <w:rPr>
          <w:rFonts w:ascii="David" w:eastAsia="Calibri" w:hAnsi="David" w:cs="David" w:hint="cs"/>
          <w:b/>
          <w:bCs/>
          <w:sz w:val="24"/>
          <w:szCs w:val="24"/>
          <w:rtl/>
        </w:rPr>
        <w:t>בת האב ופלונית</w:t>
      </w:r>
    </w:p>
    <w:p w:rsidR="002B3668" w:rsidRPr="00FC218E" w:rsidRDefault="002B3668" w:rsidP="00FC218E">
      <w:pPr>
        <w:pStyle w:val="a9"/>
        <w:spacing w:after="0" w:line="360" w:lineRule="auto"/>
        <w:ind w:left="283"/>
        <w:jc w:val="both"/>
        <w:rPr>
          <w:rFonts w:ascii="David" w:eastAsia="Calibri" w:hAnsi="David" w:cs="David"/>
          <w:b/>
          <w:bCs/>
          <w:sz w:val="24"/>
          <w:szCs w:val="24"/>
          <w:rtl/>
        </w:rPr>
      </w:pPr>
      <w:r w:rsidRPr="00FC218E">
        <w:rPr>
          <w:rFonts w:ascii="David" w:eastAsia="Calibri" w:hAnsi="David" w:cs="David" w:hint="cs"/>
          <w:b/>
          <w:bCs/>
          <w:sz w:val="24"/>
          <w:szCs w:val="24"/>
          <w:rtl/>
        </w:rPr>
        <w:t xml:space="preserve">נולדה ב </w:t>
      </w:r>
      <w:r w:rsidRPr="00FC218E">
        <w:rPr>
          <w:rFonts w:ascii="David" w:eastAsia="Calibri" w:hAnsi="David" w:cs="David" w:hint="cs"/>
          <w:b/>
          <w:bCs/>
          <w:sz w:val="24"/>
          <w:szCs w:val="24"/>
        </w:rPr>
        <w:t>XXX</w:t>
      </w:r>
      <w:r w:rsidRPr="00FC218E">
        <w:rPr>
          <w:rFonts w:ascii="David" w:eastAsia="Calibri" w:hAnsi="David" w:cs="David" w:hint="cs"/>
          <w:b/>
          <w:bCs/>
          <w:sz w:val="24"/>
          <w:szCs w:val="24"/>
          <w:rtl/>
        </w:rPr>
        <w:t xml:space="preserve"> </w:t>
      </w:r>
      <w:r w:rsidR="00FC218E" w:rsidRPr="00FC218E">
        <w:rPr>
          <w:rFonts w:ascii="David" w:eastAsia="Calibri" w:hAnsi="David" w:cs="David" w:hint="cs"/>
          <w:b/>
          <w:bCs/>
          <w:sz w:val="24"/>
          <w:szCs w:val="24"/>
          <w:rtl/>
        </w:rPr>
        <w:t xml:space="preserve">        </w:t>
      </w:r>
      <w:r w:rsidRPr="00FC218E">
        <w:rPr>
          <w:rFonts w:ascii="David" w:eastAsia="Calibri" w:hAnsi="David" w:cs="David" w:hint="cs"/>
          <w:b/>
          <w:bCs/>
          <w:sz w:val="24"/>
          <w:szCs w:val="24"/>
          <w:rtl/>
        </w:rPr>
        <w:t xml:space="preserve">בתאריך </w:t>
      </w:r>
      <w:r w:rsidR="00FC218E">
        <w:rPr>
          <w:rFonts w:ascii="David" w:eastAsia="Calibri" w:hAnsi="David" w:cs="David" w:hint="cs"/>
          <w:b/>
          <w:bCs/>
          <w:sz w:val="24"/>
          <w:szCs w:val="24"/>
        </w:rPr>
        <w:t>XXX</w:t>
      </w:r>
    </w:p>
    <w:p w:rsidR="002B3668" w:rsidRPr="00FC218E" w:rsidRDefault="002B3668" w:rsidP="002B3668">
      <w:pPr>
        <w:pStyle w:val="a9"/>
        <w:spacing w:after="0" w:line="360" w:lineRule="auto"/>
        <w:ind w:left="283"/>
        <w:jc w:val="both"/>
        <w:rPr>
          <w:rFonts w:ascii="David" w:eastAsia="Calibri" w:hAnsi="David" w:cs="David"/>
          <w:b/>
          <w:bCs/>
          <w:sz w:val="24"/>
          <w:szCs w:val="24"/>
          <w:rtl/>
        </w:rPr>
      </w:pPr>
      <w:r w:rsidRPr="00FC218E">
        <w:rPr>
          <w:rFonts w:ascii="David" w:eastAsia="Calibri" w:hAnsi="David" w:cs="David" w:hint="cs"/>
          <w:b/>
          <w:bCs/>
          <w:sz w:val="24"/>
          <w:szCs w:val="24"/>
          <w:rtl/>
        </w:rPr>
        <w:t>היא יהודיה רווקה ואין מניעה לפי ההלכה לערוך לה חו"ק כדמו"י</w:t>
      </w:r>
      <w:r w:rsidR="00FC218E" w:rsidRPr="00FC218E">
        <w:rPr>
          <w:rFonts w:ascii="David" w:eastAsia="Calibri" w:hAnsi="David" w:cs="David" w:hint="cs"/>
          <w:b/>
          <w:bCs/>
          <w:sz w:val="24"/>
          <w:szCs w:val="24"/>
          <w:rtl/>
        </w:rPr>
        <w:t>"</w:t>
      </w:r>
      <w:r w:rsidRPr="00FC218E">
        <w:rPr>
          <w:rFonts w:ascii="David" w:eastAsia="Calibri" w:hAnsi="David" w:cs="David" w:hint="cs"/>
          <w:b/>
          <w:bCs/>
          <w:sz w:val="24"/>
          <w:szCs w:val="24"/>
          <w:rtl/>
        </w:rPr>
        <w:t xml:space="preserve">. </w:t>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pStyle w:val="a9"/>
        <w:spacing w:after="0" w:line="360" w:lineRule="auto"/>
        <w:ind w:left="283"/>
        <w:jc w:val="both"/>
        <w:rPr>
          <w:rFonts w:ascii="David" w:eastAsia="Calibri" w:hAnsi="David" w:cs="David"/>
          <w:b/>
          <w:bCs/>
          <w:sz w:val="24"/>
          <w:szCs w:val="24"/>
          <w:u w:val="single"/>
          <w:rtl/>
        </w:rPr>
      </w:pPr>
      <w:r w:rsidRPr="006129EF">
        <w:rPr>
          <w:rFonts w:ascii="David" w:eastAsia="Calibri" w:hAnsi="David" w:cs="David"/>
          <w:sz w:val="24"/>
          <w:szCs w:val="24"/>
          <w:rtl/>
        </w:rPr>
        <w:t xml:space="preserve">בהקשר זה ייאמר כי נכתב בפסק הדין כי ביה"ד הרבני קבע כי </w:t>
      </w:r>
      <w:r w:rsidRPr="006129EF">
        <w:rPr>
          <w:rFonts w:ascii="David" w:eastAsia="Calibri" w:hAnsi="David" w:cs="David"/>
          <w:b/>
          <w:bCs/>
          <w:sz w:val="24"/>
          <w:szCs w:val="24"/>
          <w:u w:val="single"/>
          <w:rtl/>
        </w:rPr>
        <w:t>פסק הדין ניתן על סמך העדויות והמסמכים שבתיק.</w:t>
      </w:r>
    </w:p>
    <w:p w:rsidR="002B3668" w:rsidRPr="006129EF" w:rsidRDefault="002B3668" w:rsidP="002B3668">
      <w:pPr>
        <w:pStyle w:val="a9"/>
        <w:spacing w:after="0" w:line="360" w:lineRule="auto"/>
        <w:ind w:left="368"/>
        <w:jc w:val="both"/>
        <w:rPr>
          <w:rFonts w:ascii="David" w:eastAsia="Calibri" w:hAnsi="David" w:cs="David"/>
          <w:b/>
          <w:bCs/>
          <w:sz w:val="24"/>
          <w:szCs w:val="24"/>
          <w:u w:val="single"/>
          <w:rtl/>
        </w:rPr>
      </w:pPr>
    </w:p>
    <w:p w:rsidR="002B3668" w:rsidRDefault="002B3668" w:rsidP="002B3668">
      <w:pPr>
        <w:pStyle w:val="a9"/>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עוד ייאמר כי </w:t>
      </w:r>
      <w:r>
        <w:rPr>
          <w:rFonts w:ascii="David" w:eastAsia="Calibri" w:hAnsi="David" w:cs="David" w:hint="cs"/>
          <w:sz w:val="24"/>
          <w:szCs w:val="24"/>
          <w:rtl/>
        </w:rPr>
        <w:t>אלמונית</w:t>
      </w:r>
      <w:r w:rsidRPr="006129EF">
        <w:rPr>
          <w:rFonts w:ascii="David" w:eastAsia="Calibri" w:hAnsi="David" w:cs="David"/>
          <w:sz w:val="24"/>
          <w:szCs w:val="24"/>
          <w:rtl/>
        </w:rPr>
        <w:t xml:space="preserve"> הקימה בית בישראל עם בעלה והם משפחה יהודית, שומרת מסורת, כפי שציינה בסעיף 3 לתצהירה (נ/1).</w:t>
      </w:r>
    </w:p>
    <w:p w:rsidR="002B3668" w:rsidRPr="00FC218E" w:rsidRDefault="00FC218E" w:rsidP="00FC218E">
      <w:pPr>
        <w:pStyle w:val="a9"/>
        <w:spacing w:after="0" w:line="360" w:lineRule="auto"/>
        <w:ind w:left="283"/>
        <w:jc w:val="both"/>
        <w:rPr>
          <w:rFonts w:ascii="David" w:eastAsia="Calibri" w:hAnsi="David" w:cs="David"/>
          <w:b/>
          <w:bCs/>
          <w:sz w:val="24"/>
          <w:szCs w:val="24"/>
          <w:rtl/>
        </w:rPr>
      </w:pPr>
      <w:r w:rsidRPr="00FC218E">
        <w:rPr>
          <w:rFonts w:ascii="David" w:eastAsia="Calibri" w:hAnsi="David" w:cs="David" w:hint="cs"/>
          <w:b/>
          <w:bCs/>
          <w:sz w:val="24"/>
          <w:szCs w:val="24"/>
          <w:rtl/>
        </w:rPr>
        <w:t xml:space="preserve">"3. </w:t>
      </w:r>
      <w:r w:rsidR="002B3668" w:rsidRPr="00FC218E">
        <w:rPr>
          <w:rFonts w:ascii="David" w:eastAsia="Calibri" w:hAnsi="David" w:cs="David" w:hint="cs"/>
          <w:b/>
          <w:bCs/>
          <w:sz w:val="24"/>
          <w:szCs w:val="24"/>
          <w:rtl/>
        </w:rPr>
        <w:t xml:space="preserve">אני נשואה ל </w:t>
      </w:r>
      <w:r w:rsidR="002B3668" w:rsidRPr="00FC218E">
        <w:rPr>
          <w:rFonts w:ascii="David" w:eastAsia="Calibri" w:hAnsi="David" w:cs="David" w:hint="cs"/>
          <w:b/>
          <w:bCs/>
          <w:sz w:val="24"/>
          <w:szCs w:val="24"/>
        </w:rPr>
        <w:t>XXX X</w:t>
      </w:r>
      <w:r w:rsidR="002B3668" w:rsidRPr="00FC218E">
        <w:rPr>
          <w:rFonts w:ascii="David" w:eastAsia="Calibri" w:hAnsi="David" w:cs="David"/>
          <w:b/>
          <w:bCs/>
          <w:sz w:val="24"/>
          <w:szCs w:val="24"/>
        </w:rPr>
        <w:t xml:space="preserve">XX </w:t>
      </w:r>
      <w:r w:rsidR="002B3668" w:rsidRPr="00FC218E">
        <w:rPr>
          <w:rFonts w:ascii="David" w:eastAsia="Calibri" w:hAnsi="David" w:cs="David" w:hint="cs"/>
          <w:b/>
          <w:bCs/>
          <w:sz w:val="24"/>
          <w:szCs w:val="24"/>
          <w:rtl/>
        </w:rPr>
        <w:t xml:space="preserve"> ת.ז. </w:t>
      </w:r>
      <w:r w:rsidR="002B3668" w:rsidRPr="00FC218E">
        <w:rPr>
          <w:rFonts w:ascii="David" w:eastAsia="Calibri" w:hAnsi="David" w:cs="David" w:hint="cs"/>
          <w:b/>
          <w:bCs/>
          <w:sz w:val="24"/>
          <w:szCs w:val="24"/>
        </w:rPr>
        <w:t>XXXX</w:t>
      </w:r>
      <w:r w:rsidR="002B3668" w:rsidRPr="00FC218E">
        <w:rPr>
          <w:rFonts w:ascii="David" w:eastAsia="Calibri" w:hAnsi="David" w:cs="David" w:hint="cs"/>
          <w:b/>
          <w:bCs/>
          <w:sz w:val="24"/>
          <w:szCs w:val="24"/>
          <w:rtl/>
        </w:rPr>
        <w:t>, אנחנו משפחה יהודית, שומרת מסורת</w:t>
      </w:r>
      <w:r>
        <w:rPr>
          <w:rFonts w:ascii="David" w:eastAsia="Calibri" w:hAnsi="David" w:cs="David" w:hint="cs"/>
          <w:b/>
          <w:bCs/>
          <w:sz w:val="24"/>
          <w:szCs w:val="24"/>
          <w:rtl/>
        </w:rPr>
        <w:t>"</w:t>
      </w:r>
      <w:r w:rsidR="002B3668" w:rsidRPr="00FC218E">
        <w:rPr>
          <w:rFonts w:ascii="David" w:eastAsia="Calibri" w:hAnsi="David" w:cs="David" w:hint="cs"/>
          <w:b/>
          <w:bCs/>
          <w:sz w:val="24"/>
          <w:szCs w:val="24"/>
          <w:rtl/>
        </w:rPr>
        <w:t>.</w:t>
      </w:r>
    </w:p>
    <w:p w:rsidR="002B3668" w:rsidRPr="006129EF" w:rsidRDefault="002B3668" w:rsidP="002B3668">
      <w:pPr>
        <w:pStyle w:val="a9"/>
        <w:spacing w:after="0" w:line="360" w:lineRule="auto"/>
        <w:ind w:left="283"/>
        <w:jc w:val="both"/>
        <w:rPr>
          <w:rFonts w:ascii="David" w:eastAsia="Calibri" w:hAnsi="David" w:cs="David"/>
          <w:sz w:val="24"/>
          <w:szCs w:val="24"/>
          <w:rtl/>
        </w:rPr>
      </w:pPr>
    </w:p>
    <w:p w:rsidR="002B3668" w:rsidRPr="006129EF" w:rsidRDefault="002B3668" w:rsidP="002B3668">
      <w:pPr>
        <w:pStyle w:val="a9"/>
        <w:spacing w:after="0" w:line="360" w:lineRule="auto"/>
        <w:ind w:left="283"/>
        <w:jc w:val="both"/>
        <w:rPr>
          <w:rFonts w:ascii="David" w:hAnsi="David" w:cs="David"/>
          <w:b/>
          <w:bCs/>
          <w:sz w:val="24"/>
          <w:szCs w:val="24"/>
          <w:u w:val="single"/>
          <w:rtl/>
        </w:rPr>
      </w:pPr>
      <w:r w:rsidRPr="006129EF">
        <w:rPr>
          <w:rFonts w:ascii="David" w:eastAsia="Calibri" w:hAnsi="David" w:cs="David"/>
          <w:sz w:val="24"/>
          <w:szCs w:val="24"/>
          <w:rtl/>
        </w:rPr>
        <w:t xml:space="preserve"> דבריה אלו לא נסתרו בחקירתה בדיון שהתקיים בפניי מיום </w:t>
      </w:r>
      <w:r w:rsidRPr="006129EF">
        <w:rPr>
          <w:rFonts w:ascii="David" w:hAnsi="David" w:cs="David"/>
          <w:sz w:val="24"/>
          <w:szCs w:val="24"/>
          <w:rtl/>
        </w:rPr>
        <w:t>24.11.22.</w:t>
      </w:r>
    </w:p>
    <w:p w:rsidR="002B3668" w:rsidRPr="006129EF" w:rsidRDefault="002B3668" w:rsidP="002B3668">
      <w:pPr>
        <w:pStyle w:val="a9"/>
        <w:spacing w:after="0" w:line="360" w:lineRule="auto"/>
        <w:ind w:left="368"/>
        <w:jc w:val="both"/>
        <w:rPr>
          <w:rFonts w:ascii="David" w:hAnsi="David" w:cs="David"/>
          <w:b/>
          <w:bCs/>
          <w:sz w:val="24"/>
          <w:szCs w:val="24"/>
          <w:u w:val="single"/>
          <w:rtl/>
        </w:rPr>
      </w:pPr>
    </w:p>
    <w:p w:rsidR="002B3668" w:rsidRDefault="002B3668" w:rsidP="002B3668">
      <w:pPr>
        <w:pStyle w:val="a9"/>
        <w:spacing w:after="0" w:line="360" w:lineRule="auto"/>
        <w:ind w:left="283"/>
        <w:jc w:val="both"/>
        <w:rPr>
          <w:rFonts w:ascii="David" w:hAnsi="David" w:cs="David"/>
          <w:sz w:val="24"/>
          <w:szCs w:val="24"/>
          <w:rtl/>
        </w:rPr>
      </w:pPr>
      <w:r>
        <w:rPr>
          <w:rFonts w:ascii="David" w:hAnsi="David" w:cs="David"/>
          <w:sz w:val="24"/>
          <w:szCs w:val="24"/>
          <w:rtl/>
        </w:rPr>
        <w:lastRenderedPageBreak/>
        <w:t xml:space="preserve">העובדה </w:t>
      </w:r>
      <w:r>
        <w:rPr>
          <w:rFonts w:ascii="David" w:hAnsi="David" w:cs="David" w:hint="cs"/>
          <w:sz w:val="24"/>
          <w:szCs w:val="24"/>
          <w:rtl/>
        </w:rPr>
        <w:t>ש</w:t>
      </w:r>
      <w:r w:rsidRPr="006129EF">
        <w:rPr>
          <w:rFonts w:ascii="David" w:hAnsi="David" w:cs="David"/>
          <w:sz w:val="24"/>
          <w:szCs w:val="24"/>
          <w:rtl/>
        </w:rPr>
        <w:t xml:space="preserve">משפחתה של </w:t>
      </w:r>
      <w:r>
        <w:rPr>
          <w:rFonts w:ascii="David" w:hAnsi="David" w:cs="David" w:hint="cs"/>
          <w:sz w:val="24"/>
          <w:szCs w:val="24"/>
          <w:rtl/>
        </w:rPr>
        <w:t>אלמונית</w:t>
      </w:r>
      <w:r w:rsidRPr="006129EF">
        <w:rPr>
          <w:rFonts w:ascii="David" w:hAnsi="David" w:cs="David"/>
          <w:sz w:val="24"/>
          <w:szCs w:val="24"/>
          <w:rtl/>
        </w:rPr>
        <w:t xml:space="preserve"> מקיימת אורך חיים מסורתי עלתה עוד במכתב שנשלח על ידי </w:t>
      </w:r>
      <w:r>
        <w:rPr>
          <w:rFonts w:ascii="David" w:hAnsi="David" w:cs="David" w:hint="cs"/>
          <w:sz w:val="24"/>
          <w:szCs w:val="24"/>
          <w:rtl/>
        </w:rPr>
        <w:t>פלונית</w:t>
      </w:r>
      <w:r w:rsidRPr="006129EF">
        <w:rPr>
          <w:rFonts w:ascii="David" w:hAnsi="David" w:cs="David"/>
          <w:sz w:val="24"/>
          <w:szCs w:val="24"/>
          <w:rtl/>
        </w:rPr>
        <w:t xml:space="preserve"> ו</w:t>
      </w:r>
      <w:r>
        <w:rPr>
          <w:rFonts w:ascii="David" w:hAnsi="David" w:cs="David" w:hint="cs"/>
          <w:sz w:val="24"/>
          <w:szCs w:val="24"/>
          <w:rtl/>
        </w:rPr>
        <w:t>אלמונית</w:t>
      </w:r>
      <w:r w:rsidRPr="006129EF">
        <w:rPr>
          <w:rFonts w:ascii="David" w:hAnsi="David" w:cs="David"/>
          <w:sz w:val="24"/>
          <w:szCs w:val="24"/>
          <w:rtl/>
        </w:rPr>
        <w:t xml:space="preserve"> למשרד הפנים מיום 25.12.06 (נספח "3" לת/1) בו פורט כי הבן הבכור של </w:t>
      </w:r>
      <w:r>
        <w:rPr>
          <w:rFonts w:ascii="David" w:hAnsi="David" w:cs="David" w:hint="cs"/>
          <w:sz w:val="24"/>
          <w:szCs w:val="24"/>
          <w:rtl/>
        </w:rPr>
        <w:t>אלמונית</w:t>
      </w:r>
      <w:r w:rsidRPr="006129EF">
        <w:rPr>
          <w:rFonts w:ascii="David" w:hAnsi="David" w:cs="David"/>
          <w:sz w:val="24"/>
          <w:szCs w:val="24"/>
          <w:rtl/>
        </w:rPr>
        <w:t xml:space="preserve"> למד בבית ספר דתי. ראו סעיף 1 ג': </w:t>
      </w:r>
    </w:p>
    <w:p w:rsidR="002B3668" w:rsidRPr="00FC218E" w:rsidRDefault="00FC218E" w:rsidP="00FC218E">
      <w:pPr>
        <w:pStyle w:val="a9"/>
        <w:spacing w:after="0" w:line="360" w:lineRule="auto"/>
        <w:ind w:left="283"/>
        <w:jc w:val="both"/>
        <w:rPr>
          <w:rFonts w:ascii="David" w:hAnsi="David" w:cs="David"/>
          <w:b/>
          <w:bCs/>
          <w:sz w:val="24"/>
          <w:szCs w:val="24"/>
          <w:rtl/>
        </w:rPr>
      </w:pPr>
      <w:r w:rsidRPr="00FC218E">
        <w:rPr>
          <w:rFonts w:ascii="David" w:hAnsi="David" w:cs="David"/>
          <w:b/>
          <w:bCs/>
          <w:sz w:val="24"/>
          <w:szCs w:val="24"/>
          <w:rtl/>
        </w:rPr>
        <w:t xml:space="preserve">"ג. </w:t>
      </w:r>
      <w:r w:rsidR="002B3668" w:rsidRPr="00FC218E">
        <w:rPr>
          <w:rFonts w:ascii="David" w:hAnsi="David" w:cs="David"/>
          <w:b/>
          <w:bCs/>
          <w:sz w:val="24"/>
          <w:szCs w:val="24"/>
          <w:rtl/>
        </w:rPr>
        <w:t xml:space="preserve">הבת הבכורה אלמונית (ת"ז </w:t>
      </w:r>
      <w:r w:rsidR="002B3668" w:rsidRPr="00FC218E">
        <w:rPr>
          <w:rFonts w:ascii="David" w:hAnsi="David" w:cs="David"/>
          <w:b/>
          <w:bCs/>
          <w:sz w:val="24"/>
          <w:szCs w:val="24"/>
        </w:rPr>
        <w:t>XXXX</w:t>
      </w:r>
      <w:r w:rsidR="002B3668" w:rsidRPr="00FC218E">
        <w:rPr>
          <w:rFonts w:ascii="David" w:hAnsi="David" w:cs="David"/>
          <w:b/>
          <w:bCs/>
          <w:sz w:val="24"/>
          <w:szCs w:val="24"/>
          <w:rtl/>
        </w:rPr>
        <w:t xml:space="preserve">), סיימה בית ספר, אוניברסיטה, שירתה שירות מלא בצה"ל, נישאה נישואים </w:t>
      </w:r>
      <w:r w:rsidR="002B3668" w:rsidRPr="00FC218E">
        <w:rPr>
          <w:rFonts w:ascii="David" w:hAnsi="David" w:cs="David"/>
          <w:b/>
          <w:bCs/>
          <w:sz w:val="24"/>
          <w:szCs w:val="24"/>
          <w:u w:val="single"/>
          <w:rtl/>
        </w:rPr>
        <w:t>דרך הרבנות</w:t>
      </w:r>
      <w:r w:rsidR="002B3668" w:rsidRPr="00FC218E">
        <w:rPr>
          <w:rFonts w:ascii="David" w:hAnsi="David" w:cs="David"/>
          <w:b/>
          <w:bCs/>
          <w:sz w:val="24"/>
          <w:szCs w:val="24"/>
          <w:rtl/>
        </w:rPr>
        <w:t>.</w:t>
      </w:r>
      <w:r w:rsidRPr="00FC218E">
        <w:rPr>
          <w:rFonts w:ascii="David" w:hAnsi="David" w:cs="David"/>
          <w:b/>
          <w:bCs/>
          <w:sz w:val="24"/>
          <w:szCs w:val="24"/>
          <w:rtl/>
        </w:rPr>
        <w:t xml:space="preserve"> </w:t>
      </w:r>
      <w:r w:rsidR="002B3668" w:rsidRPr="00FC218E">
        <w:rPr>
          <w:rFonts w:ascii="David" w:hAnsi="David" w:cs="David"/>
          <w:b/>
          <w:bCs/>
          <w:sz w:val="24"/>
          <w:szCs w:val="24"/>
          <w:rtl/>
        </w:rPr>
        <w:t xml:space="preserve">נולדו להם 2 בנים: </w:t>
      </w:r>
      <w:r w:rsidR="002B3668" w:rsidRPr="00FC218E">
        <w:rPr>
          <w:rFonts w:ascii="David" w:hAnsi="David" w:cs="David"/>
          <w:b/>
          <w:bCs/>
          <w:sz w:val="24"/>
          <w:szCs w:val="24"/>
        </w:rPr>
        <w:t>XXX</w:t>
      </w:r>
      <w:r w:rsidR="002B3668" w:rsidRPr="00FC218E">
        <w:rPr>
          <w:rFonts w:ascii="David" w:hAnsi="David" w:cs="David"/>
          <w:b/>
          <w:bCs/>
          <w:sz w:val="24"/>
          <w:szCs w:val="24"/>
          <w:rtl/>
        </w:rPr>
        <w:t xml:space="preserve"> (בן 6) ו </w:t>
      </w:r>
      <w:r w:rsidR="002B3668" w:rsidRPr="00FC218E">
        <w:rPr>
          <w:rFonts w:ascii="David" w:hAnsi="David" w:cs="David"/>
          <w:b/>
          <w:bCs/>
          <w:sz w:val="24"/>
          <w:szCs w:val="24"/>
        </w:rPr>
        <w:t>XXX</w:t>
      </w:r>
      <w:r w:rsidR="002B3668" w:rsidRPr="00FC218E">
        <w:rPr>
          <w:rFonts w:ascii="David" w:hAnsi="David" w:cs="David"/>
          <w:b/>
          <w:bCs/>
          <w:sz w:val="24"/>
          <w:szCs w:val="24"/>
          <w:rtl/>
        </w:rPr>
        <w:t xml:space="preserve"> (בן 3) </w:t>
      </w:r>
      <w:r w:rsidR="002B3668" w:rsidRPr="00FC218E">
        <w:rPr>
          <w:rFonts w:ascii="David" w:hAnsi="David" w:cs="David"/>
          <w:b/>
          <w:bCs/>
          <w:sz w:val="24"/>
          <w:szCs w:val="24"/>
          <w:u w:val="single"/>
          <w:rtl/>
        </w:rPr>
        <w:t>הבן הבכור לומד בבית ספר דתי</w:t>
      </w:r>
      <w:r w:rsidR="002B3668" w:rsidRPr="00FC218E">
        <w:rPr>
          <w:rFonts w:ascii="David" w:hAnsi="David" w:cs="David"/>
          <w:b/>
          <w:bCs/>
          <w:sz w:val="24"/>
          <w:szCs w:val="24"/>
          <w:rtl/>
        </w:rPr>
        <w:t>. המשפחה מקיימת אורך חיים מסורתי</w:t>
      </w:r>
      <w:r w:rsidRPr="00FC218E">
        <w:rPr>
          <w:rFonts w:ascii="David" w:hAnsi="David" w:cs="David"/>
          <w:b/>
          <w:bCs/>
          <w:sz w:val="24"/>
          <w:szCs w:val="24"/>
          <w:rtl/>
        </w:rPr>
        <w:t>"</w:t>
      </w:r>
      <w:r w:rsidR="002B3668" w:rsidRPr="00FC218E">
        <w:rPr>
          <w:rFonts w:ascii="David" w:hAnsi="David" w:cs="David"/>
          <w:b/>
          <w:bCs/>
          <w:sz w:val="24"/>
          <w:szCs w:val="24"/>
          <w:rtl/>
        </w:rPr>
        <w:t xml:space="preserve">. </w:t>
      </w:r>
    </w:p>
    <w:p w:rsidR="002B3668" w:rsidRPr="00FC218E" w:rsidRDefault="002B3668" w:rsidP="002B3668">
      <w:pPr>
        <w:pStyle w:val="a9"/>
        <w:spacing w:after="0" w:line="360" w:lineRule="auto"/>
        <w:ind w:left="368"/>
        <w:jc w:val="both"/>
        <w:rPr>
          <w:rFonts w:ascii="David" w:eastAsia="Calibri" w:hAnsi="David" w:cs="David"/>
          <w:sz w:val="24"/>
          <w:szCs w:val="24"/>
          <w:rtl/>
        </w:rPr>
      </w:pPr>
    </w:p>
    <w:p w:rsidR="002B3668" w:rsidRDefault="002B3668" w:rsidP="002B3668">
      <w:pPr>
        <w:pStyle w:val="a9"/>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ראו לעניין זה גם: דברי</w:t>
      </w:r>
      <w:r>
        <w:rPr>
          <w:rFonts w:ascii="David" w:eastAsia="Calibri" w:hAnsi="David" w:cs="David" w:hint="cs"/>
          <w:sz w:val="24"/>
          <w:szCs w:val="24"/>
          <w:rtl/>
        </w:rPr>
        <w:t xml:space="preserve"> אלמונית</w:t>
      </w:r>
      <w:r w:rsidRPr="006129EF">
        <w:rPr>
          <w:rFonts w:ascii="David" w:eastAsia="Calibri" w:hAnsi="David" w:cs="David"/>
          <w:sz w:val="24"/>
          <w:szCs w:val="24"/>
          <w:rtl/>
        </w:rPr>
        <w:t xml:space="preserve"> בסעיף </w:t>
      </w:r>
      <w:r w:rsidR="00D7371F">
        <w:rPr>
          <w:rFonts w:ascii="David" w:eastAsia="Calibri" w:hAnsi="David" w:cs="David" w:hint="cs"/>
          <w:sz w:val="24"/>
          <w:szCs w:val="24"/>
          <w:rtl/>
        </w:rPr>
        <w:t xml:space="preserve">16 </w:t>
      </w:r>
      <w:r w:rsidRPr="006129EF">
        <w:rPr>
          <w:rFonts w:ascii="David" w:eastAsia="Calibri" w:hAnsi="David" w:cs="David"/>
          <w:sz w:val="24"/>
          <w:szCs w:val="24"/>
          <w:rtl/>
        </w:rPr>
        <w:t>לתצהירה (נ/1):</w:t>
      </w:r>
    </w:p>
    <w:p w:rsidR="002B3668" w:rsidRPr="006129EF" w:rsidRDefault="002B3668" w:rsidP="002B3668">
      <w:pPr>
        <w:pStyle w:val="a9"/>
        <w:spacing w:after="0" w:line="360" w:lineRule="auto"/>
        <w:ind w:left="283"/>
        <w:jc w:val="both"/>
        <w:rPr>
          <w:rFonts w:ascii="David" w:eastAsia="Calibri" w:hAnsi="David" w:cs="David"/>
          <w:sz w:val="24"/>
          <w:szCs w:val="24"/>
          <w:rtl/>
        </w:rPr>
      </w:pPr>
      <w:r w:rsidRPr="006129EF">
        <w:rPr>
          <w:rFonts w:ascii="David" w:eastAsia="Calibri" w:hAnsi="David" w:cs="David"/>
          <w:noProof/>
          <w:sz w:val="24"/>
          <w:szCs w:val="24"/>
        </w:rPr>
        <w:drawing>
          <wp:inline distT="0" distB="0" distL="0" distR="0" wp14:anchorId="43B3121F" wp14:editId="47CB1730">
            <wp:extent cx="5238750" cy="876300"/>
            <wp:effectExtent l="0" t="0" r="0" b="0"/>
            <wp:docPr id="29" name="תמונה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876300"/>
                    </a:xfrm>
                    <a:prstGeom prst="rect">
                      <a:avLst/>
                    </a:prstGeom>
                    <a:noFill/>
                    <a:ln>
                      <a:noFill/>
                    </a:ln>
                  </pic:spPr>
                </pic:pic>
              </a:graphicData>
            </a:graphic>
          </wp:inline>
        </w:drawing>
      </w:r>
    </w:p>
    <w:p w:rsidR="002B3668" w:rsidRPr="006129EF" w:rsidRDefault="002B3668" w:rsidP="002B3668">
      <w:pPr>
        <w:pStyle w:val="a9"/>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גם דבריה אלו לא נסתרו בחקירתה</w:t>
      </w:r>
      <w:r>
        <w:rPr>
          <w:rFonts w:ascii="David" w:eastAsia="Calibri" w:hAnsi="David" w:cs="David" w:hint="cs"/>
          <w:sz w:val="24"/>
          <w:szCs w:val="24"/>
          <w:rtl/>
        </w:rPr>
        <w:t xml:space="preserve"> של אלמונית</w:t>
      </w:r>
      <w:r w:rsidRPr="006129EF">
        <w:rPr>
          <w:rFonts w:ascii="David" w:eastAsia="Calibri" w:hAnsi="David" w:cs="David"/>
          <w:sz w:val="24"/>
          <w:szCs w:val="24"/>
          <w:rtl/>
        </w:rPr>
        <w:t xml:space="preserve"> בדיון שהתקיים בפניי מיום 24.11.22.</w:t>
      </w:r>
    </w:p>
    <w:p w:rsidR="002B3668" w:rsidRPr="006129EF" w:rsidRDefault="002B3668" w:rsidP="002B3668">
      <w:pPr>
        <w:pStyle w:val="a9"/>
        <w:spacing w:after="0" w:line="360" w:lineRule="auto"/>
        <w:ind w:left="368"/>
        <w:jc w:val="both"/>
        <w:rPr>
          <w:rFonts w:ascii="David" w:eastAsia="Calibri"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ביום 4.1.01 הגישה </w:t>
      </w:r>
      <w:r>
        <w:rPr>
          <w:rFonts w:ascii="David" w:eastAsia="Calibri" w:hAnsi="David" w:cs="David" w:hint="cs"/>
          <w:sz w:val="24"/>
          <w:szCs w:val="24"/>
          <w:rtl/>
        </w:rPr>
        <w:t>הבת הנוספת</w:t>
      </w:r>
      <w:r w:rsidRPr="006129EF">
        <w:rPr>
          <w:rFonts w:ascii="David" w:eastAsia="Calibri" w:hAnsi="David" w:cs="David"/>
          <w:sz w:val="24"/>
          <w:szCs w:val="24"/>
          <w:rtl/>
        </w:rPr>
        <w:t xml:space="preserve"> הודעה </w:t>
      </w:r>
      <w:r>
        <w:rPr>
          <w:rFonts w:ascii="David" w:eastAsia="Calibri" w:hAnsi="David" w:cs="David"/>
          <w:sz w:val="24"/>
          <w:szCs w:val="24"/>
          <w:rtl/>
        </w:rPr>
        <w:t>על נישואין שנערכו בחו"ל (</w:t>
      </w:r>
      <w:r>
        <w:rPr>
          <w:rFonts w:ascii="David" w:eastAsia="Calibri" w:hAnsi="David" w:cs="David" w:hint="cs"/>
          <w:sz w:val="24"/>
          <w:szCs w:val="24"/>
        </w:rPr>
        <w:t>XXX</w:t>
      </w:r>
      <w:r w:rsidRPr="006129EF">
        <w:rPr>
          <w:rFonts w:ascii="David" w:eastAsia="Calibri" w:hAnsi="David" w:cs="David"/>
          <w:sz w:val="24"/>
          <w:szCs w:val="24"/>
          <w:rtl/>
        </w:rPr>
        <w:t xml:space="preserve">) במשרד הפנים (נספח "3" לת/1). בהמשך לכך, נערכה בדיקה במשרד הפנים ונמצא כי הוריה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רשומים בתעודת הלידה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כרוסים, ולא יהודים (תעודות הלידה- נספח "2" לת/1). לפיכך, נשלח מכתב ל</w:t>
      </w:r>
      <w:r>
        <w:rPr>
          <w:rFonts w:ascii="David" w:eastAsia="Calibri" w:hAnsi="David" w:cs="David" w:hint="cs"/>
          <w:sz w:val="24"/>
          <w:szCs w:val="24"/>
          <w:rtl/>
        </w:rPr>
        <w:t>פלונית,</w:t>
      </w:r>
      <w:r w:rsidRPr="006129EF">
        <w:rPr>
          <w:rFonts w:ascii="David" w:eastAsia="Calibri" w:hAnsi="David" w:cs="David"/>
          <w:sz w:val="24"/>
          <w:szCs w:val="24"/>
          <w:rtl/>
        </w:rPr>
        <w:t xml:space="preserve"> </w:t>
      </w:r>
      <w:r>
        <w:rPr>
          <w:rFonts w:ascii="David" w:eastAsia="Calibri" w:hAnsi="David" w:cs="David" w:hint="cs"/>
          <w:sz w:val="24"/>
          <w:szCs w:val="24"/>
          <w:rtl/>
        </w:rPr>
        <w:t>אלמונית</w:t>
      </w:r>
      <w:r w:rsidRPr="006129EF">
        <w:rPr>
          <w:rFonts w:ascii="David" w:eastAsia="Calibri" w:hAnsi="David" w:cs="David"/>
          <w:sz w:val="24"/>
          <w:szCs w:val="24"/>
          <w:rtl/>
        </w:rPr>
        <w:t xml:space="preserve"> ו</w:t>
      </w:r>
      <w:r>
        <w:rPr>
          <w:rFonts w:ascii="David" w:eastAsia="Calibri" w:hAnsi="David" w:cs="David" w:hint="cs"/>
          <w:sz w:val="24"/>
          <w:szCs w:val="24"/>
          <w:rtl/>
        </w:rPr>
        <w:t>הבת הנוספת</w:t>
      </w:r>
      <w:r w:rsidRPr="006129EF">
        <w:rPr>
          <w:rFonts w:ascii="David" w:eastAsia="Calibri" w:hAnsi="David" w:cs="David"/>
          <w:sz w:val="24"/>
          <w:szCs w:val="24"/>
          <w:rtl/>
        </w:rPr>
        <w:t xml:space="preserve"> ביום 23.1.01 (נספח "3" לת/1) לפיו הן נדרשו להגיע למשרד הפנים עם תעודות הלידה המקוריות של שלושתן. מהתרשומת שצורפה לת/1 (נספח "3") עולה כי ביום 1.2.01 הגיעה </w:t>
      </w:r>
      <w:r>
        <w:rPr>
          <w:rFonts w:ascii="David" w:eastAsia="Calibri" w:hAnsi="David" w:cs="David" w:hint="cs"/>
          <w:sz w:val="24"/>
          <w:szCs w:val="24"/>
          <w:rtl/>
        </w:rPr>
        <w:t>אלמונית</w:t>
      </w:r>
      <w:r w:rsidRPr="006129EF">
        <w:rPr>
          <w:rFonts w:ascii="David" w:eastAsia="Calibri" w:hAnsi="David" w:cs="David"/>
          <w:sz w:val="24"/>
          <w:szCs w:val="24"/>
          <w:rtl/>
        </w:rPr>
        <w:t xml:space="preserve"> למשרד הפנים ללא תעודות. </w:t>
      </w:r>
    </w:p>
    <w:p w:rsidR="002B3668" w:rsidRPr="007D01D9" w:rsidRDefault="002B3668" w:rsidP="002B3668">
      <w:pPr>
        <w:pStyle w:val="a9"/>
        <w:spacing w:after="0" w:line="360" w:lineRule="auto"/>
        <w:ind w:left="368"/>
        <w:jc w:val="both"/>
        <w:rPr>
          <w:rFonts w:ascii="David" w:eastAsia="Calibri" w:hAnsi="David" w:cs="David"/>
          <w:sz w:val="24"/>
          <w:szCs w:val="24"/>
        </w:rPr>
      </w:pPr>
    </w:p>
    <w:p w:rsidR="00D7371F" w:rsidRPr="00C65CB5" w:rsidRDefault="002B3668" w:rsidP="00D7371F">
      <w:pPr>
        <w:pStyle w:val="a9"/>
        <w:numPr>
          <w:ilvl w:val="0"/>
          <w:numId w:val="1"/>
        </w:numPr>
        <w:spacing w:after="0" w:line="360" w:lineRule="auto"/>
        <w:ind w:left="283"/>
        <w:jc w:val="both"/>
        <w:rPr>
          <w:rFonts w:ascii="David" w:eastAsia="Calibri" w:hAnsi="David" w:cs="David"/>
          <w:sz w:val="24"/>
          <w:szCs w:val="24"/>
        </w:rPr>
      </w:pPr>
      <w:r w:rsidRPr="007D01D9">
        <w:rPr>
          <w:rFonts w:ascii="David" w:eastAsia="Calibri" w:hAnsi="David" w:cs="David"/>
          <w:sz w:val="24"/>
          <w:szCs w:val="24"/>
          <w:rtl/>
        </w:rPr>
        <w:t xml:space="preserve">ביום 18.3.01 שלחה </w:t>
      </w:r>
      <w:r w:rsidRPr="00C65CB5">
        <w:rPr>
          <w:rFonts w:ascii="David" w:eastAsia="Calibri" w:hAnsi="David" w:cs="David"/>
          <w:sz w:val="24"/>
          <w:szCs w:val="24"/>
          <w:rtl/>
        </w:rPr>
        <w:t>הבת הנוספת מכתב למשרד הפנים (נספח "3" לת/1) אליו צירפה את פסק הדין מיום 2.1.91, ובמסגרתו חזרה על אותה גרסה עקבית:</w:t>
      </w:r>
    </w:p>
    <w:p w:rsidR="00D7371F" w:rsidRPr="00C65CB5" w:rsidRDefault="00D7371F" w:rsidP="00D7371F">
      <w:pPr>
        <w:pStyle w:val="a9"/>
        <w:spacing w:after="0" w:line="360" w:lineRule="auto"/>
        <w:ind w:left="283"/>
        <w:jc w:val="both"/>
        <w:rPr>
          <w:rFonts w:ascii="David" w:eastAsia="Calibri" w:hAnsi="David" w:cs="David"/>
          <w:b/>
          <w:bCs/>
          <w:sz w:val="24"/>
          <w:szCs w:val="24"/>
          <w:rtl/>
        </w:rPr>
      </w:pPr>
      <w:r w:rsidRPr="00C65CB5">
        <w:rPr>
          <w:rFonts w:ascii="David" w:eastAsia="Calibri" w:hAnsi="David" w:cs="David"/>
          <w:b/>
          <w:bCs/>
          <w:sz w:val="24"/>
          <w:szCs w:val="24"/>
          <w:rtl/>
        </w:rPr>
        <w:t>"</w:t>
      </w:r>
      <w:r w:rsidR="002B3668" w:rsidRPr="00C65CB5">
        <w:rPr>
          <w:rFonts w:ascii="David" w:eastAsia="Calibri" w:hAnsi="David" w:cs="David"/>
          <w:b/>
          <w:bCs/>
          <w:sz w:val="24"/>
          <w:szCs w:val="24"/>
          <w:rtl/>
        </w:rPr>
        <w:t>לי לציין כי אחותי אלמונית (</w:t>
      </w:r>
      <w:r w:rsidR="002B3668" w:rsidRPr="00C65CB5">
        <w:rPr>
          <w:rFonts w:ascii="David" w:eastAsia="Calibri" w:hAnsi="David" w:cs="David"/>
          <w:b/>
          <w:bCs/>
          <w:sz w:val="24"/>
          <w:szCs w:val="24"/>
        </w:rPr>
        <w:t>XXX</w:t>
      </w:r>
      <w:r w:rsidR="002B3668" w:rsidRPr="00C65CB5">
        <w:rPr>
          <w:rFonts w:ascii="David" w:eastAsia="Calibri" w:hAnsi="David" w:cs="David"/>
          <w:b/>
          <w:bCs/>
          <w:sz w:val="24"/>
          <w:szCs w:val="24"/>
          <w:rtl/>
        </w:rPr>
        <w:t xml:space="preserve">) </w:t>
      </w:r>
      <w:r w:rsidR="002B3668" w:rsidRPr="00C65CB5">
        <w:rPr>
          <w:rFonts w:ascii="David" w:eastAsia="Calibri" w:hAnsi="David" w:cs="David"/>
          <w:b/>
          <w:bCs/>
          <w:sz w:val="24"/>
          <w:szCs w:val="24"/>
        </w:rPr>
        <w:t>XXX</w:t>
      </w:r>
      <w:r w:rsidR="002B3668" w:rsidRPr="00C65CB5">
        <w:rPr>
          <w:rFonts w:ascii="David" w:eastAsia="Calibri" w:hAnsi="David" w:cs="David"/>
          <w:b/>
          <w:bCs/>
          <w:sz w:val="24"/>
          <w:szCs w:val="24"/>
          <w:rtl/>
        </w:rPr>
        <w:t xml:space="preserve"> נישאה בתאריך 3.02.1998 בנישואים דתיים באמצעות הרבנות והיא רשומה כיהודיה לכל דבר. וכמובן שגם אמי רשומה כיהודיה. וכן אבי ואנכי. עליי להוסיף כי לאחותי נולד בן – </w:t>
      </w:r>
      <w:r w:rsidR="002B3668" w:rsidRPr="00C65CB5">
        <w:rPr>
          <w:rFonts w:ascii="David" w:eastAsia="Calibri" w:hAnsi="David" w:cs="David"/>
          <w:b/>
          <w:bCs/>
          <w:sz w:val="24"/>
          <w:szCs w:val="24"/>
        </w:rPr>
        <w:t>XXX</w:t>
      </w:r>
      <w:r w:rsidR="002B3668" w:rsidRPr="00C65CB5">
        <w:rPr>
          <w:rFonts w:ascii="David" w:eastAsia="Calibri" w:hAnsi="David" w:cs="David"/>
          <w:b/>
          <w:bCs/>
          <w:sz w:val="24"/>
          <w:szCs w:val="24"/>
          <w:rtl/>
        </w:rPr>
        <w:t xml:space="preserve"> – שנמול כיהודי וכדת וכדין – לכל דבר.</w:t>
      </w:r>
      <w:r w:rsidRPr="00C65CB5">
        <w:rPr>
          <w:rFonts w:ascii="David" w:eastAsia="Calibri" w:hAnsi="David" w:cs="David"/>
          <w:b/>
          <w:bCs/>
          <w:sz w:val="24"/>
          <w:szCs w:val="24"/>
          <w:rtl/>
        </w:rPr>
        <w:t xml:space="preserve"> </w:t>
      </w:r>
      <w:r w:rsidR="002B3668" w:rsidRPr="00C65CB5">
        <w:rPr>
          <w:rFonts w:ascii="David" w:eastAsia="Calibri" w:hAnsi="David" w:cs="David"/>
          <w:b/>
          <w:bCs/>
          <w:sz w:val="24"/>
          <w:szCs w:val="24"/>
          <w:rtl/>
        </w:rPr>
        <w:t>ולכן לא ברור לי מדוע דווקא בעניני הדבר לא ברור. עליי לציין כי הן בדרכו</w:t>
      </w:r>
      <w:r w:rsidRPr="00C65CB5">
        <w:rPr>
          <w:rFonts w:ascii="David" w:eastAsia="Calibri" w:hAnsi="David" w:cs="David"/>
          <w:b/>
          <w:bCs/>
          <w:sz w:val="24"/>
          <w:szCs w:val="24"/>
          <w:rtl/>
        </w:rPr>
        <w:t xml:space="preserve">ן </w:t>
      </w:r>
      <w:r w:rsidR="002B3668" w:rsidRPr="00C65CB5">
        <w:rPr>
          <w:rFonts w:ascii="David" w:eastAsia="Calibri" w:hAnsi="David" w:cs="David"/>
          <w:b/>
          <w:bCs/>
          <w:sz w:val="24"/>
          <w:szCs w:val="24"/>
          <w:rtl/>
        </w:rPr>
        <w:t>והן בתעודת הזהות אני רשומה כיהודיה. החלפתי כתובות – ומעולם לא התעוררו כל בעיות לגבי זהותי היהודית.</w:t>
      </w:r>
      <w:r w:rsidRPr="00C65CB5">
        <w:rPr>
          <w:rFonts w:ascii="David" w:eastAsia="Calibri" w:hAnsi="David" w:cs="David"/>
          <w:b/>
          <w:bCs/>
          <w:sz w:val="24"/>
          <w:szCs w:val="24"/>
          <w:rtl/>
        </w:rPr>
        <w:t xml:space="preserve"> </w:t>
      </w:r>
      <w:r w:rsidR="002B3668" w:rsidRPr="00C65CB5">
        <w:rPr>
          <w:rFonts w:ascii="David" w:eastAsia="Calibri" w:hAnsi="David" w:cs="David"/>
          <w:b/>
          <w:bCs/>
          <w:sz w:val="24"/>
          <w:szCs w:val="24"/>
          <w:rtl/>
        </w:rPr>
        <w:t xml:space="preserve">גם שינוי הסטטוס בתעודת הזהות שלי מרווקה לנשואה לא יפגום בשום צורה ביהדותי. ואינני מתכוונת לשנות את הלאום שלי אלא רק לשנות את הסטטוס לאחר שנישאתי. עליי לציין כי שמי המקורי הינו הבת הנוספת על שם סבתי </w:t>
      </w:r>
      <w:r w:rsidRPr="00C65CB5">
        <w:rPr>
          <w:rFonts w:ascii="David" w:eastAsia="Calibri" w:hAnsi="David" w:cs="David"/>
          <w:b/>
          <w:bCs/>
          <w:sz w:val="24"/>
          <w:szCs w:val="24"/>
        </w:rPr>
        <w:t>XXX</w:t>
      </w:r>
      <w:r w:rsidR="002B3668" w:rsidRPr="00C65CB5">
        <w:rPr>
          <w:rFonts w:ascii="David" w:eastAsia="Calibri" w:hAnsi="David" w:cs="David"/>
          <w:b/>
          <w:bCs/>
          <w:sz w:val="24"/>
          <w:szCs w:val="24"/>
          <w:rtl/>
        </w:rPr>
        <w:t xml:space="preserve">. זו הייתה כוונת הורי והוריה של סבתי לרשום את שמה על שם </w:t>
      </w:r>
      <w:r w:rsidRPr="00C65CB5">
        <w:rPr>
          <w:rFonts w:ascii="David" w:eastAsia="Calibri" w:hAnsi="David" w:cs="David"/>
          <w:b/>
          <w:bCs/>
          <w:sz w:val="24"/>
          <w:szCs w:val="24"/>
        </w:rPr>
        <w:t>XXX</w:t>
      </w:r>
      <w:r w:rsidR="002B3668" w:rsidRPr="00C65CB5">
        <w:rPr>
          <w:rFonts w:ascii="David" w:eastAsia="Calibri" w:hAnsi="David" w:cs="David"/>
          <w:b/>
          <w:bCs/>
          <w:sz w:val="24"/>
          <w:szCs w:val="24"/>
          <w:rtl/>
        </w:rPr>
        <w:t xml:space="preserve"> חשובה בתנ"ך. כמו כן נאמר לי ע"י משפחתי כי בעקבות הפוגרומים והאנטישמיות והרדיפות והמלחמה שהייתה ב</w:t>
      </w:r>
      <w:r w:rsidR="002B3668" w:rsidRPr="00C65CB5">
        <w:rPr>
          <w:rFonts w:ascii="David" w:eastAsia="Calibri" w:hAnsi="David" w:cs="David"/>
          <w:b/>
          <w:bCs/>
          <w:sz w:val="24"/>
          <w:szCs w:val="24"/>
        </w:rPr>
        <w:t>XXX</w:t>
      </w:r>
      <w:r w:rsidR="002B3668" w:rsidRPr="00C65CB5">
        <w:rPr>
          <w:rFonts w:ascii="David" w:eastAsia="Calibri" w:hAnsi="David" w:cs="David"/>
          <w:b/>
          <w:bCs/>
          <w:sz w:val="24"/>
          <w:szCs w:val="24"/>
          <w:rtl/>
        </w:rPr>
        <w:t xml:space="preserve"> – המשפחה ברחה ממקום למקום – ונאלצה להשתמש במסמכים רוסיים בלבד כדי שלא יכולו לזהות את יהדותם</w:t>
      </w:r>
      <w:r w:rsidRPr="00C65CB5">
        <w:rPr>
          <w:rFonts w:ascii="David" w:eastAsia="Calibri" w:hAnsi="David" w:cs="David"/>
          <w:b/>
          <w:bCs/>
          <w:sz w:val="24"/>
          <w:szCs w:val="24"/>
          <w:rtl/>
        </w:rPr>
        <w:t xml:space="preserve"> ובכך להיפג</w:t>
      </w:r>
      <w:r w:rsidR="002B3668" w:rsidRPr="00C65CB5">
        <w:rPr>
          <w:rFonts w:ascii="David" w:eastAsia="Calibri" w:hAnsi="David" w:cs="David"/>
          <w:b/>
          <w:bCs/>
          <w:sz w:val="24"/>
          <w:szCs w:val="24"/>
          <w:rtl/>
        </w:rPr>
        <w:t xml:space="preserve">ע מהם. </w:t>
      </w:r>
    </w:p>
    <w:p w:rsidR="002B3668" w:rsidRPr="00C65CB5" w:rsidRDefault="002B3668" w:rsidP="00D7371F">
      <w:pPr>
        <w:pStyle w:val="a9"/>
        <w:spacing w:after="0" w:line="360" w:lineRule="auto"/>
        <w:ind w:left="283"/>
        <w:jc w:val="both"/>
        <w:rPr>
          <w:rFonts w:ascii="David" w:eastAsia="Calibri" w:hAnsi="David" w:cs="David"/>
          <w:b/>
          <w:bCs/>
          <w:sz w:val="24"/>
          <w:szCs w:val="24"/>
          <w:rtl/>
        </w:rPr>
      </w:pPr>
      <w:r w:rsidRPr="00C65CB5">
        <w:rPr>
          <w:rFonts w:ascii="David" w:eastAsia="Calibri" w:hAnsi="David" w:cs="David"/>
          <w:b/>
          <w:bCs/>
          <w:sz w:val="24"/>
          <w:szCs w:val="24"/>
          <w:rtl/>
        </w:rPr>
        <w:lastRenderedPageBreak/>
        <w:t>סבתי מצד אמי כל הזמן ידעה כי היא יהודיה ד</w:t>
      </w:r>
      <w:r w:rsidR="00D7371F" w:rsidRPr="00C65CB5">
        <w:rPr>
          <w:rFonts w:ascii="David" w:eastAsia="Calibri" w:hAnsi="David" w:cs="David"/>
          <w:b/>
          <w:bCs/>
          <w:sz w:val="24"/>
          <w:szCs w:val="24"/>
          <w:rtl/>
        </w:rPr>
        <w:t>י</w:t>
      </w:r>
      <w:r w:rsidRPr="00C65CB5">
        <w:rPr>
          <w:rFonts w:ascii="David" w:eastAsia="Calibri" w:hAnsi="David" w:cs="David"/>
          <w:b/>
          <w:bCs/>
          <w:sz w:val="24"/>
          <w:szCs w:val="24"/>
          <w:rtl/>
        </w:rPr>
        <w:t>ברה אידיש והצליחה ב</w:t>
      </w:r>
      <w:r w:rsidR="00D7371F" w:rsidRPr="00C65CB5">
        <w:rPr>
          <w:rFonts w:ascii="David" w:eastAsia="Calibri" w:hAnsi="David" w:cs="David"/>
          <w:b/>
          <w:bCs/>
          <w:sz w:val="24"/>
          <w:szCs w:val="24"/>
          <w:rtl/>
        </w:rPr>
        <w:t>מסתרים</w:t>
      </w:r>
      <w:r w:rsidRPr="00C65CB5">
        <w:rPr>
          <w:rFonts w:ascii="David" w:eastAsia="Calibri" w:hAnsi="David" w:cs="David"/>
          <w:b/>
          <w:bCs/>
          <w:sz w:val="24"/>
          <w:szCs w:val="24"/>
          <w:rtl/>
        </w:rPr>
        <w:t xml:space="preserve"> לשמור על יהדותה בנפשה וברוחה ומעולם לא חסכה מאמצים להעביר את המידע הזה לאמי (ביתה) כדי שזו מצידה תעביר לילדיה. בעתיד.</w:t>
      </w:r>
      <w:r w:rsidR="00D7371F" w:rsidRPr="00C65CB5">
        <w:rPr>
          <w:rFonts w:ascii="David" w:eastAsia="Calibri" w:hAnsi="David" w:cs="David"/>
          <w:b/>
          <w:bCs/>
          <w:sz w:val="24"/>
          <w:szCs w:val="24"/>
          <w:rtl/>
        </w:rPr>
        <w:t xml:space="preserve"> </w:t>
      </w:r>
      <w:r w:rsidRPr="00C65CB5">
        <w:rPr>
          <w:rFonts w:ascii="David" w:eastAsia="Calibri" w:hAnsi="David" w:cs="David"/>
          <w:b/>
          <w:bCs/>
          <w:sz w:val="24"/>
          <w:szCs w:val="24"/>
          <w:rtl/>
        </w:rPr>
        <w:t>כתוצאה משמי העברי – עברתי תקופות קשות כילדה ורדיפות ע"י הגויים. ואילו פה בארץ אני משום מה נחשבת חלילה שלא יהודיה!!!</w:t>
      </w:r>
      <w:r w:rsidR="00D7371F" w:rsidRPr="00C65CB5">
        <w:rPr>
          <w:rFonts w:ascii="David" w:eastAsia="Calibri" w:hAnsi="David" w:cs="David"/>
          <w:b/>
          <w:bCs/>
          <w:sz w:val="24"/>
          <w:szCs w:val="24"/>
          <w:rtl/>
        </w:rPr>
        <w:t xml:space="preserve"> </w:t>
      </w:r>
      <w:r w:rsidRPr="00C65CB5">
        <w:rPr>
          <w:rFonts w:ascii="David" w:eastAsia="Calibri" w:hAnsi="David" w:cs="David"/>
          <w:b/>
          <w:bCs/>
          <w:sz w:val="24"/>
          <w:szCs w:val="24"/>
          <w:rtl/>
        </w:rPr>
        <w:t>הכיצד? אנו</w:t>
      </w:r>
      <w:r w:rsidR="00D7371F" w:rsidRPr="00C65CB5">
        <w:rPr>
          <w:rFonts w:ascii="David" w:eastAsia="Calibri" w:hAnsi="David" w:cs="David"/>
          <w:b/>
          <w:bCs/>
          <w:sz w:val="24"/>
          <w:szCs w:val="24"/>
          <w:rtl/>
        </w:rPr>
        <w:t xml:space="preserve"> חשבנו כי הגענו למנוחה ו</w:t>
      </w:r>
      <w:r w:rsidRPr="00C65CB5">
        <w:rPr>
          <w:rFonts w:ascii="David" w:eastAsia="Calibri" w:hAnsi="David" w:cs="David"/>
          <w:b/>
          <w:bCs/>
          <w:sz w:val="24"/>
          <w:szCs w:val="24"/>
          <w:rtl/>
        </w:rPr>
        <w:t xml:space="preserve">לא נצטרך להסתיר את יהדותנו אלא לחיות כיהודים גאים. </w:t>
      </w:r>
      <w:r w:rsidR="00D7371F" w:rsidRPr="00C65CB5">
        <w:rPr>
          <w:rFonts w:ascii="David" w:eastAsia="Calibri" w:hAnsi="David" w:cs="David"/>
          <w:b/>
          <w:bCs/>
          <w:sz w:val="24"/>
          <w:szCs w:val="24"/>
          <w:rtl/>
        </w:rPr>
        <w:t>א</w:t>
      </w:r>
      <w:r w:rsidRPr="00C65CB5">
        <w:rPr>
          <w:rFonts w:ascii="David" w:eastAsia="Calibri" w:hAnsi="David" w:cs="David"/>
          <w:b/>
          <w:bCs/>
          <w:sz w:val="24"/>
          <w:szCs w:val="24"/>
          <w:rtl/>
        </w:rPr>
        <w:t>ני חי</w:t>
      </w:r>
      <w:r w:rsidR="00D7371F" w:rsidRPr="00C65CB5">
        <w:rPr>
          <w:rFonts w:ascii="David" w:eastAsia="Calibri" w:hAnsi="David" w:cs="David"/>
          <w:b/>
          <w:bCs/>
          <w:sz w:val="24"/>
          <w:szCs w:val="24"/>
          <w:rtl/>
        </w:rPr>
        <w:t>י</w:t>
      </w:r>
      <w:r w:rsidRPr="00C65CB5">
        <w:rPr>
          <w:rFonts w:ascii="David" w:eastAsia="Calibri" w:hAnsi="David" w:cs="David"/>
          <w:b/>
          <w:bCs/>
          <w:sz w:val="24"/>
          <w:szCs w:val="24"/>
          <w:rtl/>
        </w:rPr>
        <w:t>לת בצה"ל מתוך הכרה של שליחותי כיהודיה בארץ ישראל. גם שם המשפחה מעיד על יהודים ולא נוצרים.</w:t>
      </w:r>
      <w:r w:rsidR="00D7371F" w:rsidRPr="00C65CB5">
        <w:rPr>
          <w:rFonts w:ascii="David" w:eastAsia="Calibri" w:hAnsi="David" w:cs="David"/>
          <w:b/>
          <w:bCs/>
          <w:sz w:val="24"/>
          <w:szCs w:val="24"/>
          <w:rtl/>
        </w:rPr>
        <w:t xml:space="preserve"> </w:t>
      </w:r>
      <w:r w:rsidRPr="00C65CB5">
        <w:rPr>
          <w:rFonts w:ascii="David" w:eastAsia="Calibri" w:hAnsi="David" w:cs="David"/>
          <w:b/>
          <w:bCs/>
          <w:sz w:val="24"/>
          <w:szCs w:val="24"/>
          <w:rtl/>
        </w:rPr>
        <w:t>אני בארץ החל מגיל 12 גדלתי מתוך אמונה שלמה ביהוד</w:t>
      </w:r>
      <w:r w:rsidR="00D7371F" w:rsidRPr="00C65CB5">
        <w:rPr>
          <w:rFonts w:ascii="David" w:eastAsia="Calibri" w:hAnsi="David" w:cs="David"/>
          <w:b/>
          <w:bCs/>
          <w:sz w:val="24"/>
          <w:szCs w:val="24"/>
          <w:rtl/>
        </w:rPr>
        <w:t>ו</w:t>
      </w:r>
      <w:r w:rsidRPr="00C65CB5">
        <w:rPr>
          <w:rFonts w:ascii="David" w:eastAsia="Calibri" w:hAnsi="David" w:cs="David"/>
          <w:b/>
          <w:bCs/>
          <w:sz w:val="24"/>
          <w:szCs w:val="24"/>
          <w:rtl/>
        </w:rPr>
        <w:t>תי.</w:t>
      </w:r>
      <w:r w:rsidR="00D7371F" w:rsidRPr="00C65CB5">
        <w:rPr>
          <w:rFonts w:ascii="David" w:eastAsia="Calibri" w:hAnsi="David" w:cs="David"/>
          <w:b/>
          <w:bCs/>
          <w:color w:val="FF0000"/>
          <w:sz w:val="24"/>
          <w:szCs w:val="24"/>
          <w:rtl/>
        </w:rPr>
        <w:t xml:space="preserve"> </w:t>
      </w:r>
      <w:r w:rsidRPr="00C65CB5">
        <w:rPr>
          <w:rFonts w:ascii="David" w:eastAsia="Calibri" w:hAnsi="David" w:cs="David"/>
          <w:b/>
          <w:bCs/>
          <w:sz w:val="24"/>
          <w:szCs w:val="24"/>
          <w:rtl/>
        </w:rPr>
        <w:t>מעולם לא היה לי כל ספק בכך – ול</w:t>
      </w:r>
      <w:r w:rsidR="00D7371F" w:rsidRPr="00C65CB5">
        <w:rPr>
          <w:rFonts w:ascii="David" w:eastAsia="Calibri" w:hAnsi="David" w:cs="David"/>
          <w:b/>
          <w:bCs/>
          <w:sz w:val="24"/>
          <w:szCs w:val="24"/>
          <w:rtl/>
        </w:rPr>
        <w:t>ראשונה בגלל היחס של משרד הפנים</w:t>
      </w:r>
      <w:r w:rsidRPr="00C65CB5">
        <w:rPr>
          <w:rFonts w:ascii="David" w:eastAsia="Calibri" w:hAnsi="David" w:cs="David"/>
          <w:b/>
          <w:bCs/>
          <w:sz w:val="24"/>
          <w:szCs w:val="24"/>
          <w:rtl/>
        </w:rPr>
        <w:t xml:space="preserve"> הרג</w:t>
      </w:r>
      <w:r w:rsidR="00D7371F" w:rsidRPr="00C65CB5">
        <w:rPr>
          <w:rFonts w:ascii="David" w:eastAsia="Calibri" w:hAnsi="David" w:cs="David"/>
          <w:b/>
          <w:bCs/>
          <w:sz w:val="24"/>
          <w:szCs w:val="24"/>
          <w:rtl/>
        </w:rPr>
        <w:t>שתי כי</w:t>
      </w:r>
      <w:r w:rsidRPr="00C65CB5">
        <w:rPr>
          <w:rFonts w:ascii="David" w:eastAsia="Calibri" w:hAnsi="David" w:cs="David"/>
          <w:b/>
          <w:bCs/>
          <w:sz w:val="24"/>
          <w:szCs w:val="24"/>
          <w:rtl/>
        </w:rPr>
        <w:t xml:space="preserve"> יהדותי פתאום מתערערת.</w:t>
      </w:r>
      <w:r w:rsidR="00D7371F" w:rsidRPr="00C65CB5">
        <w:rPr>
          <w:rFonts w:ascii="David" w:eastAsia="Calibri" w:hAnsi="David" w:cs="David"/>
          <w:b/>
          <w:bCs/>
          <w:sz w:val="24"/>
          <w:szCs w:val="24"/>
          <w:rtl/>
        </w:rPr>
        <w:t xml:space="preserve"> </w:t>
      </w:r>
      <w:r w:rsidRPr="00C65CB5">
        <w:rPr>
          <w:rFonts w:ascii="David" w:eastAsia="Calibri" w:hAnsi="David" w:cs="David"/>
          <w:b/>
          <w:bCs/>
          <w:sz w:val="24"/>
          <w:szCs w:val="24"/>
          <w:rtl/>
        </w:rPr>
        <w:t>אדוני אני מקווה כי לאור המצב ולאור האמור במכתבי זה תקבל את דברי – ותת</w:t>
      </w:r>
      <w:r w:rsidR="00D7371F" w:rsidRPr="00C65CB5">
        <w:rPr>
          <w:rFonts w:ascii="David" w:eastAsia="Calibri" w:hAnsi="David" w:cs="David"/>
          <w:b/>
          <w:bCs/>
          <w:sz w:val="24"/>
          <w:szCs w:val="24"/>
          <w:rtl/>
        </w:rPr>
        <w:t>י</w:t>
      </w:r>
      <w:r w:rsidRPr="00C65CB5">
        <w:rPr>
          <w:rFonts w:ascii="David" w:eastAsia="Calibri" w:hAnsi="David" w:cs="David"/>
          <w:b/>
          <w:bCs/>
          <w:sz w:val="24"/>
          <w:szCs w:val="24"/>
          <w:rtl/>
        </w:rPr>
        <w:t>יחסו בכובד ראש לפסיקת הרבנות שהינה הגוף העליון – מדובר בפסק דין אורתודוקסי ולא חלילה רפורמי או אחר.</w:t>
      </w:r>
      <w:r w:rsidR="00D7371F" w:rsidRPr="00C65CB5">
        <w:rPr>
          <w:rFonts w:ascii="David" w:eastAsia="Calibri" w:hAnsi="David" w:cs="David"/>
          <w:b/>
          <w:bCs/>
          <w:sz w:val="24"/>
          <w:szCs w:val="24"/>
          <w:rtl/>
        </w:rPr>
        <w:t xml:space="preserve"> </w:t>
      </w:r>
      <w:r w:rsidRPr="00C65CB5">
        <w:rPr>
          <w:rFonts w:ascii="David" w:eastAsia="Calibri" w:hAnsi="David" w:cs="David"/>
          <w:b/>
          <w:bCs/>
          <w:sz w:val="24"/>
          <w:szCs w:val="24"/>
          <w:rtl/>
        </w:rPr>
        <w:t>אני מאמינה בכל לב כי בקשתי תיפול על אוזן קשב</w:t>
      </w:r>
      <w:r w:rsidR="00D7371F" w:rsidRPr="00C65CB5">
        <w:rPr>
          <w:rFonts w:ascii="David" w:eastAsia="Calibri" w:hAnsi="David" w:cs="David"/>
          <w:b/>
          <w:bCs/>
          <w:sz w:val="24"/>
          <w:szCs w:val="24"/>
          <w:rtl/>
        </w:rPr>
        <w:t>ת</w:t>
      </w:r>
      <w:r w:rsidRPr="00C65CB5">
        <w:rPr>
          <w:rFonts w:ascii="David" w:eastAsia="Calibri" w:hAnsi="David" w:cs="David"/>
          <w:b/>
          <w:bCs/>
          <w:sz w:val="24"/>
          <w:szCs w:val="24"/>
          <w:rtl/>
        </w:rPr>
        <w:t xml:space="preserve"> וכי ההליכים לא יימשכו והשינוי בסטטוס המשפחתי יבוא על סיומו הטוב – עוד לפני ימי הפסח וחג הגאולה לו אנו מצפים כולנו כיהודים לכל דבר !!!!</w:t>
      </w:r>
      <w:r w:rsidR="00D7371F" w:rsidRPr="00C65CB5">
        <w:rPr>
          <w:rFonts w:ascii="David" w:eastAsia="Calibri" w:hAnsi="David" w:cs="David"/>
          <w:b/>
          <w:bCs/>
          <w:sz w:val="24"/>
          <w:szCs w:val="24"/>
          <w:rtl/>
        </w:rPr>
        <w:t>".</w:t>
      </w:r>
    </w:p>
    <w:p w:rsidR="00D7371F" w:rsidRPr="00C65CB5" w:rsidRDefault="00D7371F" w:rsidP="002B3668">
      <w:pPr>
        <w:pStyle w:val="a9"/>
        <w:spacing w:after="0" w:line="360" w:lineRule="auto"/>
        <w:ind w:hanging="437"/>
        <w:jc w:val="both"/>
        <w:rPr>
          <w:rFonts w:ascii="David" w:eastAsia="Calibri" w:hAnsi="David" w:cs="David"/>
          <w:b/>
          <w:bCs/>
          <w:color w:val="FF0000"/>
          <w:sz w:val="24"/>
          <w:szCs w:val="24"/>
          <w:rtl/>
        </w:rPr>
      </w:pPr>
    </w:p>
    <w:p w:rsidR="002B3668" w:rsidRPr="006129EF" w:rsidRDefault="002B3668" w:rsidP="002B3668">
      <w:pPr>
        <w:spacing w:line="360" w:lineRule="auto"/>
        <w:ind w:left="283"/>
        <w:jc w:val="both"/>
        <w:rPr>
          <w:rFonts w:ascii="David" w:eastAsia="Calibri" w:hAnsi="David"/>
          <w:b/>
          <w:bCs/>
          <w:u w:val="single"/>
          <w:rtl/>
        </w:rPr>
      </w:pPr>
      <w:r w:rsidRPr="006129EF">
        <w:rPr>
          <w:rFonts w:ascii="David" w:eastAsia="Calibri" w:hAnsi="David"/>
          <w:b/>
          <w:bCs/>
          <w:u w:val="single"/>
          <w:rtl/>
        </w:rPr>
        <w:t>סבורני כי הדברים מד</w:t>
      </w:r>
      <w:r>
        <w:rPr>
          <w:rFonts w:ascii="David" w:eastAsia="Calibri" w:hAnsi="David"/>
          <w:b/>
          <w:bCs/>
          <w:u w:val="single"/>
          <w:rtl/>
        </w:rPr>
        <w:t xml:space="preserve">ברים בעד עצמם, ומעידים על כך </w:t>
      </w:r>
      <w:r>
        <w:rPr>
          <w:rFonts w:ascii="David" w:eastAsia="Calibri" w:hAnsi="David" w:hint="cs"/>
          <w:b/>
          <w:bCs/>
          <w:u w:val="single"/>
          <w:rtl/>
        </w:rPr>
        <w:t>ש</w:t>
      </w:r>
      <w:r w:rsidRPr="006129EF">
        <w:rPr>
          <w:rFonts w:ascii="David" w:eastAsia="Calibri" w:hAnsi="David"/>
          <w:b/>
          <w:bCs/>
          <w:u w:val="single"/>
          <w:rtl/>
        </w:rPr>
        <w:t xml:space="preserve">גרסתם של בני המשפחה לענין יהדותה של </w:t>
      </w:r>
      <w:r>
        <w:rPr>
          <w:rFonts w:ascii="David" w:eastAsia="Calibri" w:hAnsi="David" w:hint="cs"/>
          <w:b/>
          <w:bCs/>
          <w:u w:val="single"/>
          <w:rtl/>
        </w:rPr>
        <w:t>פלונית</w:t>
      </w:r>
      <w:r w:rsidRPr="006129EF">
        <w:rPr>
          <w:rFonts w:ascii="David" w:eastAsia="Calibri" w:hAnsi="David"/>
          <w:b/>
          <w:bCs/>
          <w:u w:val="single"/>
          <w:rtl/>
        </w:rPr>
        <w:t xml:space="preserve"> הייתה עקבית ועלתה במלוא עוצמתה עוד במכתב משנת 2001.</w:t>
      </w:r>
    </w:p>
    <w:p w:rsidR="002B3668" w:rsidRPr="006129EF" w:rsidRDefault="002B3668" w:rsidP="002B3668">
      <w:pPr>
        <w:pStyle w:val="a9"/>
        <w:spacing w:after="0" w:line="360" w:lineRule="auto"/>
        <w:ind w:left="368"/>
        <w:jc w:val="both"/>
        <w:rPr>
          <w:rFonts w:ascii="David" w:eastAsia="Calibri" w:hAnsi="David" w:cs="David"/>
          <w:sz w:val="24"/>
          <w:szCs w:val="24"/>
        </w:rPr>
      </w:pPr>
      <w:r w:rsidRPr="006129EF">
        <w:rPr>
          <w:rFonts w:ascii="David" w:eastAsia="Calibri" w:hAnsi="David" w:cs="David"/>
          <w:sz w:val="24"/>
          <w:szCs w:val="24"/>
          <w:rtl/>
        </w:rPr>
        <w:t xml:space="preserve"> </w:t>
      </w: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ביום 2.8.01 הגיעה </w:t>
      </w:r>
      <w:r>
        <w:rPr>
          <w:rFonts w:ascii="David" w:eastAsia="Calibri" w:hAnsi="David" w:cs="David" w:hint="cs"/>
          <w:sz w:val="24"/>
          <w:szCs w:val="24"/>
          <w:rtl/>
        </w:rPr>
        <w:t>הבת הנוספת</w:t>
      </w:r>
      <w:r w:rsidRPr="006129EF">
        <w:rPr>
          <w:rFonts w:ascii="David" w:eastAsia="Calibri" w:hAnsi="David" w:cs="David"/>
          <w:sz w:val="24"/>
          <w:szCs w:val="24"/>
          <w:rtl/>
        </w:rPr>
        <w:t xml:space="preserve"> למשרד הפנים וסירבה </w:t>
      </w:r>
      <w:r w:rsidRPr="006129EF">
        <w:rPr>
          <w:rFonts w:ascii="David" w:eastAsia="Calibri" w:hAnsi="David" w:cs="David"/>
          <w:sz w:val="24"/>
          <w:szCs w:val="24"/>
          <w:u w:val="single"/>
          <w:rtl/>
        </w:rPr>
        <w:t>בכל תוקף</w:t>
      </w:r>
      <w:r w:rsidRPr="006129EF">
        <w:rPr>
          <w:rFonts w:ascii="David" w:eastAsia="Calibri" w:hAnsi="David" w:cs="David"/>
          <w:sz w:val="24"/>
          <w:szCs w:val="24"/>
          <w:rtl/>
        </w:rPr>
        <w:t xml:space="preserve"> לחתום על בקשה לתיקון פרטי הדת והלאום (נספח "3" לת/1):</w:t>
      </w:r>
    </w:p>
    <w:p w:rsidR="002B3668" w:rsidRPr="006129EF" w:rsidRDefault="002B3668" w:rsidP="002B3668">
      <w:pPr>
        <w:pStyle w:val="a9"/>
        <w:spacing w:after="0" w:line="360" w:lineRule="auto"/>
        <w:ind w:left="283"/>
        <w:jc w:val="both"/>
        <w:rPr>
          <w:rFonts w:ascii="David" w:eastAsia="Calibri" w:hAnsi="David" w:cs="David"/>
          <w:sz w:val="24"/>
          <w:szCs w:val="24"/>
        </w:rPr>
      </w:pPr>
      <w:r w:rsidRPr="006129EF">
        <w:rPr>
          <w:rFonts w:ascii="David" w:eastAsia="Calibri" w:hAnsi="David" w:cs="David"/>
          <w:noProof/>
          <w:sz w:val="24"/>
          <w:szCs w:val="24"/>
        </w:rPr>
        <w:drawing>
          <wp:inline distT="0" distB="0" distL="0" distR="0" wp14:anchorId="55456F44" wp14:editId="63CA73F2">
            <wp:extent cx="4010025" cy="838200"/>
            <wp:effectExtent l="0" t="0" r="9525" b="0"/>
            <wp:docPr id="44" name="תמונה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0025" cy="838200"/>
                    </a:xfrm>
                    <a:prstGeom prst="rect">
                      <a:avLst/>
                    </a:prstGeom>
                    <a:noFill/>
                    <a:ln>
                      <a:noFill/>
                    </a:ln>
                  </pic:spPr>
                </pic:pic>
              </a:graphicData>
            </a:graphic>
          </wp:inline>
        </w:drawing>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ביום 3.12.06 נשלחו ל</w:t>
      </w:r>
      <w:r>
        <w:rPr>
          <w:rFonts w:ascii="David" w:eastAsia="Calibri" w:hAnsi="David" w:cs="David" w:hint="cs"/>
          <w:sz w:val="24"/>
          <w:szCs w:val="24"/>
          <w:rtl/>
        </w:rPr>
        <w:t>פלונית</w:t>
      </w:r>
      <w:r w:rsidRPr="006129EF">
        <w:rPr>
          <w:rFonts w:ascii="David" w:eastAsia="Calibri" w:hAnsi="David" w:cs="David"/>
          <w:sz w:val="24"/>
          <w:szCs w:val="24"/>
          <w:rtl/>
        </w:rPr>
        <w:t xml:space="preserve"> ול</w:t>
      </w:r>
      <w:r>
        <w:rPr>
          <w:rFonts w:ascii="David" w:eastAsia="Calibri" w:hAnsi="David" w:cs="David" w:hint="cs"/>
          <w:sz w:val="24"/>
          <w:szCs w:val="24"/>
          <w:rtl/>
        </w:rPr>
        <w:t>אלמונית</w:t>
      </w:r>
      <w:r w:rsidRPr="006129EF">
        <w:rPr>
          <w:rFonts w:ascii="David" w:eastAsia="Calibri" w:hAnsi="David" w:cs="David"/>
          <w:sz w:val="24"/>
          <w:szCs w:val="24"/>
          <w:rtl/>
        </w:rPr>
        <w:t xml:space="preserve"> מכתבים לפיהם התבקשו להגיע למשרדי משרד הפנים לצורך תיקון פרטי הרישום (נספח "3" לת/1). ביום 21.12.06 נשלח מכתב ל</w:t>
      </w:r>
      <w:r>
        <w:rPr>
          <w:rFonts w:ascii="David" w:eastAsia="Calibri" w:hAnsi="David" w:cs="David" w:hint="cs"/>
          <w:sz w:val="24"/>
          <w:szCs w:val="24"/>
          <w:rtl/>
        </w:rPr>
        <w:t>בת הנוספת</w:t>
      </w:r>
      <w:r w:rsidRPr="006129EF">
        <w:rPr>
          <w:rFonts w:ascii="David" w:eastAsia="Calibri" w:hAnsi="David" w:cs="David"/>
          <w:sz w:val="24"/>
          <w:szCs w:val="24"/>
          <w:rtl/>
        </w:rPr>
        <w:t xml:space="preserve"> מטעם הגב' א</w:t>
      </w:r>
      <w:r>
        <w:rPr>
          <w:rFonts w:ascii="David" w:eastAsia="Calibri" w:hAnsi="David" w:cs="David" w:hint="cs"/>
          <w:sz w:val="24"/>
          <w:szCs w:val="24"/>
          <w:rtl/>
        </w:rPr>
        <w:t>'</w:t>
      </w:r>
      <w:r w:rsidRPr="006129EF">
        <w:rPr>
          <w:rFonts w:ascii="David" w:eastAsia="Calibri" w:hAnsi="David" w:cs="David"/>
          <w:sz w:val="24"/>
          <w:szCs w:val="24"/>
          <w:rtl/>
        </w:rPr>
        <w:t xml:space="preserve"> ש</w:t>
      </w:r>
      <w:r>
        <w:rPr>
          <w:rFonts w:ascii="David" w:eastAsia="Calibri" w:hAnsi="David" w:cs="David" w:hint="cs"/>
          <w:sz w:val="24"/>
          <w:szCs w:val="24"/>
          <w:rtl/>
        </w:rPr>
        <w:t>'</w:t>
      </w:r>
      <w:r w:rsidRPr="006129EF">
        <w:rPr>
          <w:rFonts w:ascii="David" w:eastAsia="Calibri" w:hAnsi="David" w:cs="David"/>
          <w:sz w:val="24"/>
          <w:szCs w:val="24"/>
          <w:rtl/>
        </w:rPr>
        <w:t>, ממונה מרשם ודרכונים (נספח "3" לת/1) לפיו היא התבקשה לפנות ללשכת מנהל האוכלוסין לחתום על הסכמה לתיקון פרטי הדת והלאום לא יאוחר מיום 29.1.07, כאשר צוין במכתב כדלקמן:</w:t>
      </w:r>
    </w:p>
    <w:p w:rsidR="002B3668" w:rsidRPr="006129EF" w:rsidRDefault="002B3668" w:rsidP="002B3668">
      <w:pPr>
        <w:pStyle w:val="a9"/>
        <w:spacing w:after="0" w:line="360" w:lineRule="auto"/>
        <w:ind w:left="283"/>
        <w:jc w:val="both"/>
        <w:rPr>
          <w:rFonts w:ascii="David" w:eastAsia="Calibri" w:hAnsi="David" w:cs="David"/>
          <w:sz w:val="24"/>
          <w:szCs w:val="24"/>
        </w:rPr>
      </w:pPr>
      <w:r w:rsidRPr="006129EF">
        <w:rPr>
          <w:rFonts w:ascii="David" w:eastAsia="Calibri" w:hAnsi="David" w:cs="David"/>
          <w:noProof/>
          <w:sz w:val="24"/>
          <w:szCs w:val="24"/>
        </w:rPr>
        <w:drawing>
          <wp:inline distT="0" distB="0" distL="0" distR="0" wp14:anchorId="68CEE87F" wp14:editId="64BA4B51">
            <wp:extent cx="5229225" cy="1190625"/>
            <wp:effectExtent l="0" t="0" r="9525" b="9525"/>
            <wp:docPr id="45" name="תמונה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225" cy="1190625"/>
                    </a:xfrm>
                    <a:prstGeom prst="rect">
                      <a:avLst/>
                    </a:prstGeom>
                    <a:noFill/>
                    <a:ln>
                      <a:noFill/>
                    </a:ln>
                  </pic:spPr>
                </pic:pic>
              </a:graphicData>
            </a:graphic>
          </wp:inline>
        </w:drawing>
      </w:r>
    </w:p>
    <w:p w:rsidR="002B3668" w:rsidRPr="006129EF" w:rsidRDefault="002B3668" w:rsidP="002B3668">
      <w:pPr>
        <w:pStyle w:val="a9"/>
        <w:spacing w:after="0" w:line="360" w:lineRule="auto"/>
        <w:ind w:left="368"/>
        <w:jc w:val="both"/>
        <w:rPr>
          <w:rFonts w:ascii="David" w:eastAsia="Calibri" w:hAnsi="David" w:cs="David"/>
          <w:sz w:val="24"/>
          <w:szCs w:val="24"/>
        </w:rPr>
      </w:pPr>
    </w:p>
    <w:p w:rsidR="00C65CB5" w:rsidRDefault="002B3668" w:rsidP="00C65CB5">
      <w:pPr>
        <w:pStyle w:val="a9"/>
        <w:numPr>
          <w:ilvl w:val="0"/>
          <w:numId w:val="1"/>
        </w:numPr>
        <w:spacing w:after="0" w:line="360" w:lineRule="auto"/>
        <w:ind w:left="283"/>
        <w:jc w:val="both"/>
        <w:rPr>
          <w:rFonts w:ascii="David" w:eastAsia="Calibri" w:hAnsi="David" w:cs="David"/>
          <w:sz w:val="24"/>
          <w:szCs w:val="24"/>
        </w:rPr>
      </w:pPr>
      <w:r>
        <w:rPr>
          <w:rFonts w:ascii="David" w:eastAsia="Calibri" w:hAnsi="David" w:cs="David"/>
          <w:sz w:val="24"/>
          <w:szCs w:val="24"/>
          <w:rtl/>
        </w:rPr>
        <w:t xml:space="preserve">ביום 25.12.06 שלחו </w:t>
      </w:r>
      <w:r>
        <w:rPr>
          <w:rFonts w:ascii="David" w:eastAsia="Calibri" w:hAnsi="David" w:cs="David" w:hint="cs"/>
          <w:sz w:val="24"/>
          <w:szCs w:val="24"/>
          <w:rtl/>
        </w:rPr>
        <w:t>פלונית ואלמונית</w:t>
      </w:r>
      <w:r w:rsidRPr="006129EF">
        <w:rPr>
          <w:rFonts w:ascii="David" w:eastAsia="Calibri" w:hAnsi="David" w:cs="David"/>
          <w:sz w:val="24"/>
          <w:szCs w:val="24"/>
          <w:rtl/>
        </w:rPr>
        <w:t xml:space="preserve"> מכתב למשרד הפנים, בו נכתבו הדברים הבאים:</w:t>
      </w:r>
    </w:p>
    <w:p w:rsidR="002B3668" w:rsidRPr="00C65CB5" w:rsidRDefault="00C65CB5" w:rsidP="00C65CB5">
      <w:pPr>
        <w:pStyle w:val="a9"/>
        <w:spacing w:after="0" w:line="360" w:lineRule="auto"/>
        <w:ind w:left="283"/>
        <w:jc w:val="both"/>
        <w:rPr>
          <w:rFonts w:ascii="David" w:eastAsia="Calibri" w:hAnsi="David" w:cs="David"/>
          <w:b/>
          <w:bCs/>
          <w:sz w:val="24"/>
          <w:szCs w:val="24"/>
          <w:rtl/>
        </w:rPr>
      </w:pPr>
      <w:r w:rsidRPr="00C65CB5">
        <w:rPr>
          <w:rFonts w:ascii="David" w:eastAsia="Calibri" w:hAnsi="David" w:cs="David" w:hint="cs"/>
          <w:b/>
          <w:bCs/>
          <w:sz w:val="24"/>
          <w:szCs w:val="24"/>
          <w:rtl/>
        </w:rPr>
        <w:t>"1</w:t>
      </w:r>
      <w:r w:rsidR="002B3668" w:rsidRPr="00C65CB5">
        <w:rPr>
          <w:rFonts w:ascii="David" w:eastAsia="Calibri" w:hAnsi="David" w:cs="David" w:hint="cs"/>
          <w:b/>
          <w:bCs/>
          <w:sz w:val="24"/>
          <w:szCs w:val="24"/>
          <w:rtl/>
        </w:rPr>
        <w:t xml:space="preserve">. בהמשך לפנייתכם מתאריך ה </w:t>
      </w:r>
      <w:r w:rsidR="002B3668" w:rsidRPr="00C65CB5">
        <w:rPr>
          <w:rFonts w:ascii="David" w:eastAsia="Calibri" w:hAnsi="David" w:cs="David"/>
          <w:b/>
          <w:bCs/>
          <w:sz w:val="24"/>
          <w:szCs w:val="24"/>
          <w:rtl/>
        </w:rPr>
        <w:t>–</w:t>
      </w:r>
      <w:r w:rsidR="002B3668" w:rsidRPr="00C65CB5">
        <w:rPr>
          <w:rFonts w:ascii="David" w:eastAsia="Calibri" w:hAnsi="David" w:cs="David" w:hint="cs"/>
          <w:b/>
          <w:bCs/>
          <w:sz w:val="24"/>
          <w:szCs w:val="24"/>
          <w:rtl/>
        </w:rPr>
        <w:t xml:space="preserve"> 3 בדצמבר 2006 בנושא בירור פרטים, להלן התייחסות משפחת </w:t>
      </w:r>
      <w:r w:rsidR="002B3668" w:rsidRPr="00C65CB5">
        <w:rPr>
          <w:rFonts w:ascii="David" w:eastAsia="Calibri" w:hAnsi="David" w:cs="David" w:hint="cs"/>
          <w:b/>
          <w:bCs/>
          <w:sz w:val="24"/>
          <w:szCs w:val="24"/>
        </w:rPr>
        <w:t>XXX</w:t>
      </w:r>
      <w:r w:rsidR="002B3668" w:rsidRPr="00C65CB5">
        <w:rPr>
          <w:rFonts w:ascii="David" w:eastAsia="Calibri" w:hAnsi="David" w:cs="David" w:hint="cs"/>
          <w:b/>
          <w:bCs/>
          <w:sz w:val="24"/>
          <w:szCs w:val="24"/>
          <w:rtl/>
        </w:rPr>
        <w:t xml:space="preserve">: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א. משפחתנו עלתה ארצה בשנת 1990 (אב, אם ושתי בנות). המשפחה עלתה ממניעים ציוניים ובמטרת איחוד משפחות (אביו של הבעל עלה ארצה בשנות ה-70).</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ב. לאור העובדה, כי לא נמצאה בידי האם תעודת לידה בה רשום לאום "יהודי" (ואת כלל הנסיבות לכך הוצגו בבית הדין הרבני), בשנת 1991 פנינו לבית הדין הרבני במטרת אישור היהדות של האם </w:t>
      </w:r>
      <w:r w:rsidRPr="00C65CB5">
        <w:rPr>
          <w:rFonts w:ascii="David" w:eastAsia="Calibri" w:hAnsi="David" w:cs="David" w:hint="cs"/>
          <w:b/>
          <w:bCs/>
          <w:sz w:val="24"/>
          <w:szCs w:val="24"/>
        </w:rPr>
        <w:t xml:space="preserve">XXX </w:t>
      </w:r>
      <w:r w:rsidRPr="00C65CB5">
        <w:rPr>
          <w:rFonts w:ascii="David" w:eastAsia="Calibri" w:hAnsi="David" w:cs="David" w:hint="cs"/>
          <w:b/>
          <w:bCs/>
          <w:sz w:val="24"/>
          <w:szCs w:val="24"/>
          <w:rtl/>
        </w:rPr>
        <w:t xml:space="preserve"> פלונית, ואכן התקבל פסק דין המאשר זאת.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ג. הבת הבכורה אלמונית (ת"ז </w:t>
      </w:r>
      <w:r w:rsidRPr="00C65CB5">
        <w:rPr>
          <w:rFonts w:ascii="David" w:eastAsia="Calibri" w:hAnsi="David" w:cs="David" w:hint="cs"/>
          <w:b/>
          <w:bCs/>
          <w:sz w:val="24"/>
          <w:szCs w:val="24"/>
        </w:rPr>
        <w:t>XXXX</w:t>
      </w:r>
      <w:r w:rsidRPr="00C65CB5">
        <w:rPr>
          <w:rFonts w:ascii="David" w:eastAsia="Calibri" w:hAnsi="David" w:cs="David" w:hint="cs"/>
          <w:b/>
          <w:bCs/>
          <w:sz w:val="24"/>
          <w:szCs w:val="24"/>
          <w:rtl/>
        </w:rPr>
        <w:t xml:space="preserve">), סיימה בית ספר, אוניברסיטה, שירתה שירות </w:t>
      </w:r>
      <w:r w:rsidRPr="00C65CB5">
        <w:rPr>
          <w:rFonts w:ascii="David" w:eastAsia="Calibri" w:hAnsi="David" w:cs="David"/>
          <w:b/>
          <w:bCs/>
          <w:sz w:val="24"/>
          <w:szCs w:val="24"/>
          <w:rtl/>
        </w:rPr>
        <w:t xml:space="preserve">מלא בצה"ל, נישאה נישואים </w:t>
      </w:r>
      <w:r w:rsidRPr="00C65CB5">
        <w:rPr>
          <w:rFonts w:ascii="David" w:eastAsia="Calibri" w:hAnsi="David" w:cs="David"/>
          <w:b/>
          <w:bCs/>
          <w:sz w:val="24"/>
          <w:szCs w:val="24"/>
          <w:u w:val="single"/>
          <w:rtl/>
        </w:rPr>
        <w:t>דרך הרבנות</w:t>
      </w:r>
      <w:r w:rsidRPr="00C65CB5">
        <w:rPr>
          <w:rFonts w:ascii="David" w:eastAsia="Calibri" w:hAnsi="David" w:cs="David"/>
          <w:b/>
          <w:bCs/>
          <w:sz w:val="24"/>
          <w:szCs w:val="24"/>
          <w:rtl/>
        </w:rPr>
        <w:t>.</w:t>
      </w:r>
    </w:p>
    <w:p w:rsidR="002B3668" w:rsidRPr="00C65CB5" w:rsidRDefault="002B3668" w:rsidP="002B3668">
      <w:pPr>
        <w:pStyle w:val="a9"/>
        <w:spacing w:line="360" w:lineRule="auto"/>
        <w:rPr>
          <w:rFonts w:ascii="David" w:eastAsia="Calibri" w:hAnsi="David" w:cs="David"/>
          <w:b/>
          <w:bCs/>
          <w:sz w:val="24"/>
          <w:szCs w:val="24"/>
          <w:rtl/>
        </w:rPr>
      </w:pPr>
      <w:r w:rsidRPr="00C65CB5">
        <w:rPr>
          <w:rFonts w:ascii="David" w:eastAsia="Calibri" w:hAnsi="David" w:cs="David"/>
          <w:b/>
          <w:bCs/>
          <w:sz w:val="24"/>
          <w:szCs w:val="24"/>
          <w:rtl/>
        </w:rPr>
        <w:t xml:space="preserve">נולדו להם 2 בנים: </w:t>
      </w:r>
      <w:r w:rsidRPr="00C65CB5">
        <w:rPr>
          <w:rFonts w:ascii="David" w:eastAsia="Calibri" w:hAnsi="David" w:cs="David"/>
          <w:b/>
          <w:bCs/>
          <w:sz w:val="24"/>
          <w:szCs w:val="24"/>
        </w:rPr>
        <w:t>XXX</w:t>
      </w:r>
      <w:r w:rsidRPr="00C65CB5">
        <w:rPr>
          <w:rFonts w:ascii="David" w:eastAsia="Calibri" w:hAnsi="David" w:cs="David"/>
          <w:b/>
          <w:bCs/>
          <w:sz w:val="24"/>
          <w:szCs w:val="24"/>
          <w:rtl/>
        </w:rPr>
        <w:t xml:space="preserve"> (בן 6) ו </w:t>
      </w:r>
      <w:r w:rsidRPr="00C65CB5">
        <w:rPr>
          <w:rFonts w:ascii="David" w:eastAsia="Calibri" w:hAnsi="David" w:cs="David"/>
          <w:b/>
          <w:bCs/>
          <w:sz w:val="24"/>
          <w:szCs w:val="24"/>
        </w:rPr>
        <w:t>XXX</w:t>
      </w:r>
      <w:r w:rsidRPr="00C65CB5">
        <w:rPr>
          <w:rFonts w:ascii="David" w:eastAsia="Calibri" w:hAnsi="David" w:cs="David"/>
          <w:b/>
          <w:bCs/>
          <w:sz w:val="24"/>
          <w:szCs w:val="24"/>
          <w:rtl/>
        </w:rPr>
        <w:t xml:space="preserve"> (בן 3) </w:t>
      </w:r>
      <w:r w:rsidRPr="00C65CB5">
        <w:rPr>
          <w:rFonts w:ascii="David" w:eastAsia="Calibri" w:hAnsi="David" w:cs="David"/>
          <w:b/>
          <w:bCs/>
          <w:sz w:val="24"/>
          <w:szCs w:val="24"/>
          <w:u w:val="single"/>
          <w:rtl/>
        </w:rPr>
        <w:t>הבן הבכור לומד בבית ספר דתי</w:t>
      </w:r>
      <w:r w:rsidRPr="00C65CB5">
        <w:rPr>
          <w:rFonts w:ascii="David" w:eastAsia="Calibri" w:hAnsi="David" w:cs="David"/>
          <w:b/>
          <w:bCs/>
          <w:sz w:val="24"/>
          <w:szCs w:val="24"/>
          <w:rtl/>
        </w:rPr>
        <w:t xml:space="preserve">.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b/>
          <w:bCs/>
          <w:sz w:val="24"/>
          <w:szCs w:val="24"/>
          <w:rtl/>
        </w:rPr>
        <w:t>המשפחה מקיימת אורך חיים מסורתי.</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ד. הבת השנייה הבת הנוספת (ת"ז </w:t>
      </w:r>
      <w:r w:rsidRPr="00C65CB5">
        <w:rPr>
          <w:rFonts w:ascii="David" w:eastAsia="Calibri" w:hAnsi="David" w:cs="David" w:hint="cs"/>
          <w:b/>
          <w:bCs/>
          <w:sz w:val="24"/>
          <w:szCs w:val="24"/>
        </w:rPr>
        <w:t>XXXX</w:t>
      </w:r>
      <w:r w:rsidRPr="00C65CB5">
        <w:rPr>
          <w:rFonts w:ascii="David" w:eastAsia="Calibri" w:hAnsi="David" w:cs="David" w:hint="cs"/>
          <w:b/>
          <w:bCs/>
          <w:sz w:val="24"/>
          <w:szCs w:val="24"/>
          <w:rtl/>
        </w:rPr>
        <w:t xml:space="preserve">), סיימה בית ספר, אוניברסיטה, כיום משרתת </w:t>
      </w:r>
      <w:r w:rsidRPr="00C65CB5">
        <w:rPr>
          <w:rFonts w:ascii="David" w:eastAsia="Calibri" w:hAnsi="David" w:cs="David" w:hint="cs"/>
          <w:b/>
          <w:bCs/>
          <w:sz w:val="24"/>
          <w:szCs w:val="24"/>
          <w:u w:val="single"/>
          <w:rtl/>
        </w:rPr>
        <w:t>כקצינה ב</w:t>
      </w:r>
      <w:r w:rsidRPr="00C65CB5">
        <w:rPr>
          <w:rFonts w:ascii="David" w:eastAsia="Calibri" w:hAnsi="David" w:cs="David"/>
          <w:b/>
          <w:bCs/>
          <w:sz w:val="24"/>
          <w:szCs w:val="24"/>
          <w:u w:val="single"/>
          <w:rtl/>
        </w:rPr>
        <w:t>צה"ל</w:t>
      </w:r>
      <w:r w:rsidRPr="00C65CB5">
        <w:rPr>
          <w:rFonts w:ascii="David" w:eastAsia="Calibri" w:hAnsi="David" w:cs="David" w:hint="cs"/>
          <w:b/>
          <w:bCs/>
          <w:sz w:val="24"/>
          <w:szCs w:val="24"/>
          <w:rtl/>
        </w:rPr>
        <w:t xml:space="preserve"> (כ- 6 שנים) בשירות קבע. וגם היא התחתנה והקימה בית בישראל.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ה. כך אחד במשפחה מאמין אמונה הדוקה כי הינו נמצא כאן בארץ בגלל שהוא "יהודי" ומקומו כאן בארץ.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הילדים, חונכו וגודלו על בסיס מניעים ציוניים.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ו. אנו מאמינים כי תרמנו ואנו ממשיכים לתרום כאזרחים מסורים למדינת ישראל, כל אחד בחלקו.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ז. לא ברורה לנו כלל פנייתכם בנוגע ללאום של האם פלונית.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 xml:space="preserve">אנו מאמינים אמונה שלמה בדת שלנו כיהודים, כאלה שגדלנו וחונכנו כך לאורך כל חיינו.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tl/>
        </w:rPr>
        <w:t>בכבוד רב,</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Pr>
        <w:t>XXX</w:t>
      </w:r>
      <w:r w:rsidRPr="00C65CB5">
        <w:rPr>
          <w:rFonts w:ascii="David" w:eastAsia="Calibri" w:hAnsi="David" w:cs="David" w:hint="cs"/>
          <w:b/>
          <w:bCs/>
          <w:sz w:val="24"/>
          <w:szCs w:val="24"/>
          <w:rtl/>
        </w:rPr>
        <w:t xml:space="preserve"> פלונית </w:t>
      </w:r>
    </w:p>
    <w:p w:rsidR="002B3668" w:rsidRPr="00C65CB5" w:rsidRDefault="002B3668" w:rsidP="002B3668">
      <w:pPr>
        <w:pStyle w:val="a9"/>
        <w:spacing w:after="0" w:line="360" w:lineRule="auto"/>
        <w:jc w:val="both"/>
        <w:rPr>
          <w:rFonts w:ascii="David" w:eastAsia="Calibri" w:hAnsi="David" w:cs="David"/>
          <w:b/>
          <w:bCs/>
          <w:sz w:val="24"/>
          <w:szCs w:val="24"/>
          <w:rtl/>
        </w:rPr>
      </w:pPr>
      <w:r w:rsidRPr="00C65CB5">
        <w:rPr>
          <w:rFonts w:ascii="David" w:eastAsia="Calibri" w:hAnsi="David" w:cs="David" w:hint="cs"/>
          <w:b/>
          <w:bCs/>
          <w:sz w:val="24"/>
          <w:szCs w:val="24"/>
        </w:rPr>
        <w:t>XXX</w:t>
      </w:r>
      <w:r w:rsidRPr="00C65CB5">
        <w:rPr>
          <w:rFonts w:ascii="David" w:eastAsia="Calibri" w:hAnsi="David" w:cs="David" w:hint="cs"/>
          <w:b/>
          <w:bCs/>
          <w:sz w:val="24"/>
          <w:szCs w:val="24"/>
          <w:rtl/>
        </w:rPr>
        <w:t xml:space="preserve"> (</w:t>
      </w:r>
      <w:r w:rsidRPr="00C65CB5">
        <w:rPr>
          <w:rFonts w:ascii="David" w:eastAsia="Calibri" w:hAnsi="David" w:cs="David" w:hint="cs"/>
          <w:b/>
          <w:bCs/>
          <w:sz w:val="24"/>
          <w:szCs w:val="24"/>
        </w:rPr>
        <w:t>XXX</w:t>
      </w:r>
      <w:r w:rsidRPr="00C65CB5">
        <w:rPr>
          <w:rFonts w:ascii="David" w:eastAsia="Calibri" w:hAnsi="David" w:cs="David" w:hint="cs"/>
          <w:b/>
          <w:bCs/>
          <w:sz w:val="24"/>
          <w:szCs w:val="24"/>
          <w:rtl/>
        </w:rPr>
        <w:t xml:space="preserve">) אלמונית </w:t>
      </w:r>
    </w:p>
    <w:p w:rsidR="002B3668" w:rsidRPr="00C65CB5" w:rsidRDefault="002B3668" w:rsidP="002B3668">
      <w:pPr>
        <w:spacing w:line="360" w:lineRule="auto"/>
        <w:ind w:firstLine="720"/>
        <w:jc w:val="both"/>
        <w:rPr>
          <w:rFonts w:ascii="David" w:eastAsia="Calibri" w:hAnsi="David"/>
          <w:b/>
          <w:bCs/>
          <w:rtl/>
        </w:rPr>
      </w:pPr>
      <w:r w:rsidRPr="00C65CB5">
        <w:rPr>
          <w:rFonts w:ascii="David" w:eastAsia="Calibri" w:hAnsi="David" w:hint="cs"/>
          <w:b/>
          <w:bCs/>
        </w:rPr>
        <w:t>XXX</w:t>
      </w:r>
      <w:r w:rsidRPr="00C65CB5">
        <w:rPr>
          <w:rFonts w:ascii="David" w:eastAsia="Calibri" w:hAnsi="David" w:hint="cs"/>
          <w:b/>
          <w:bCs/>
          <w:rtl/>
        </w:rPr>
        <w:t xml:space="preserve"> הבת הנוספת</w:t>
      </w:r>
    </w:p>
    <w:p w:rsidR="002B3668" w:rsidRPr="00C65CB5" w:rsidRDefault="002B3668" w:rsidP="002B3668">
      <w:pPr>
        <w:pStyle w:val="a9"/>
        <w:spacing w:after="0" w:line="360" w:lineRule="auto"/>
        <w:ind w:left="283"/>
        <w:jc w:val="right"/>
        <w:rPr>
          <w:rFonts w:ascii="David" w:eastAsia="Calibri" w:hAnsi="David" w:cs="David"/>
          <w:b/>
          <w:bCs/>
          <w:sz w:val="24"/>
          <w:szCs w:val="24"/>
          <w:rtl/>
        </w:rPr>
      </w:pPr>
      <w:r w:rsidRPr="00C65CB5">
        <w:rPr>
          <w:rFonts w:ascii="David" w:eastAsia="Calibri" w:hAnsi="David" w:cs="David" w:hint="cs"/>
          <w:b/>
          <w:bCs/>
          <w:sz w:val="24"/>
          <w:szCs w:val="24"/>
          <w:rtl/>
        </w:rPr>
        <w:t>25  בדצמבר  2006</w:t>
      </w:r>
    </w:p>
    <w:p w:rsidR="002B3668" w:rsidRPr="00C65CB5" w:rsidRDefault="002B3668" w:rsidP="002B3668">
      <w:pPr>
        <w:pStyle w:val="a9"/>
        <w:spacing w:after="0" w:line="360" w:lineRule="auto"/>
        <w:ind w:left="283"/>
        <w:jc w:val="right"/>
        <w:rPr>
          <w:rFonts w:ascii="David" w:eastAsia="Calibri" w:hAnsi="David" w:cs="David"/>
          <w:b/>
          <w:bCs/>
          <w:sz w:val="24"/>
          <w:szCs w:val="24"/>
          <w:rtl/>
        </w:rPr>
      </w:pPr>
      <w:r w:rsidRPr="00C65CB5">
        <w:rPr>
          <w:rFonts w:ascii="David" w:eastAsia="Calibri" w:hAnsi="David" w:cs="David" w:hint="cs"/>
          <w:b/>
          <w:bCs/>
          <w:sz w:val="24"/>
          <w:szCs w:val="24"/>
          <w:rtl/>
        </w:rPr>
        <w:t>ד' בטבת התשס"ז</w:t>
      </w:r>
      <w:r w:rsidR="00C65CB5">
        <w:rPr>
          <w:rFonts w:ascii="David" w:eastAsia="Calibri" w:hAnsi="David" w:cs="David" w:hint="cs"/>
          <w:b/>
          <w:bCs/>
          <w:sz w:val="24"/>
          <w:szCs w:val="24"/>
          <w:rtl/>
        </w:rPr>
        <w:t>"</w:t>
      </w:r>
    </w:p>
    <w:p w:rsidR="002B3668" w:rsidRPr="006129EF" w:rsidRDefault="002B3668" w:rsidP="002B3668">
      <w:pPr>
        <w:pStyle w:val="a9"/>
        <w:spacing w:after="0" w:line="360" w:lineRule="auto"/>
        <w:ind w:left="283"/>
        <w:jc w:val="both"/>
        <w:rPr>
          <w:rFonts w:ascii="David" w:eastAsia="Calibri" w:hAnsi="David" w:cs="David"/>
          <w:sz w:val="24"/>
          <w:szCs w:val="24"/>
          <w:rtl/>
        </w:rPr>
      </w:pPr>
    </w:p>
    <w:p w:rsidR="002B3668" w:rsidRPr="006129EF" w:rsidRDefault="002B3668" w:rsidP="002B3668">
      <w:pPr>
        <w:pStyle w:val="a9"/>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במכתב זה, אשר מעיד אף הוא על גרסה עקבית של </w:t>
      </w:r>
      <w:r>
        <w:rPr>
          <w:rFonts w:ascii="David" w:eastAsia="Calibri" w:hAnsi="David" w:cs="David" w:hint="cs"/>
          <w:sz w:val="24"/>
          <w:szCs w:val="24"/>
          <w:rtl/>
        </w:rPr>
        <w:t>פלונית</w:t>
      </w:r>
      <w:r w:rsidRPr="006129EF">
        <w:rPr>
          <w:rFonts w:ascii="David" w:eastAsia="Calibri" w:hAnsi="David" w:cs="David"/>
          <w:sz w:val="24"/>
          <w:szCs w:val="24"/>
          <w:rtl/>
        </w:rPr>
        <w:t xml:space="preserve"> גם בשנת 2</w:t>
      </w:r>
      <w:r>
        <w:rPr>
          <w:rFonts w:ascii="David" w:eastAsia="Calibri" w:hAnsi="David" w:cs="David"/>
          <w:sz w:val="24"/>
          <w:szCs w:val="24"/>
          <w:rtl/>
        </w:rPr>
        <w:t xml:space="preserve">006, נכתב כי כלל הנסיבות לכך </w:t>
      </w:r>
      <w:r>
        <w:rPr>
          <w:rFonts w:ascii="David" w:eastAsia="Calibri" w:hAnsi="David" w:cs="David" w:hint="cs"/>
          <w:sz w:val="24"/>
          <w:szCs w:val="24"/>
          <w:rtl/>
        </w:rPr>
        <w:t>ש</w:t>
      </w:r>
      <w:r w:rsidRPr="006129EF">
        <w:rPr>
          <w:rFonts w:ascii="David" w:eastAsia="Calibri" w:hAnsi="David" w:cs="David"/>
          <w:sz w:val="24"/>
          <w:szCs w:val="24"/>
          <w:rtl/>
        </w:rPr>
        <w:t xml:space="preserve">לא נמצאה בידי האם תעודת לידה בה רשום לאום "יהודי", הוצגו בביה"ד הרבני, דהיינו, כבר אז הציגו </w:t>
      </w:r>
      <w:r>
        <w:rPr>
          <w:rFonts w:ascii="David" w:eastAsia="Calibri" w:hAnsi="David" w:cs="David" w:hint="cs"/>
          <w:sz w:val="24"/>
          <w:szCs w:val="24"/>
          <w:rtl/>
        </w:rPr>
        <w:t xml:space="preserve">פלונית </w:t>
      </w:r>
      <w:r w:rsidRPr="006129EF">
        <w:rPr>
          <w:rFonts w:ascii="David" w:eastAsia="Calibri" w:hAnsi="David" w:cs="David"/>
          <w:sz w:val="24"/>
          <w:szCs w:val="24"/>
          <w:rtl/>
        </w:rPr>
        <w:t>ו</w:t>
      </w:r>
      <w:r>
        <w:rPr>
          <w:rFonts w:ascii="David" w:eastAsia="Calibri" w:hAnsi="David" w:cs="David" w:hint="cs"/>
          <w:sz w:val="24"/>
          <w:szCs w:val="24"/>
          <w:rtl/>
        </w:rPr>
        <w:t>אלמונית</w:t>
      </w:r>
      <w:r w:rsidRPr="006129EF">
        <w:rPr>
          <w:rFonts w:ascii="David" w:eastAsia="Calibri" w:hAnsi="David" w:cs="David"/>
          <w:sz w:val="24"/>
          <w:szCs w:val="24"/>
          <w:rtl/>
        </w:rPr>
        <w:t xml:space="preserve"> גרסה לפיה לביה"ד הרבני הוצגה מלוא התמונה העובדתית בטרם ניתן פסק הדין מיום 2.1.91 אשר קבע כי </w:t>
      </w:r>
      <w:r>
        <w:rPr>
          <w:rFonts w:ascii="David" w:eastAsia="Calibri" w:hAnsi="David" w:cs="David" w:hint="cs"/>
          <w:sz w:val="24"/>
          <w:szCs w:val="24"/>
          <w:rtl/>
        </w:rPr>
        <w:t>פלונית</w:t>
      </w:r>
      <w:r w:rsidRPr="006129EF">
        <w:rPr>
          <w:rFonts w:ascii="David" w:eastAsia="Calibri" w:hAnsi="David" w:cs="David"/>
          <w:sz w:val="24"/>
          <w:szCs w:val="24"/>
          <w:rtl/>
        </w:rPr>
        <w:t xml:space="preserve"> יהודיה.  </w:t>
      </w:r>
    </w:p>
    <w:p w:rsidR="002B3668" w:rsidRPr="006129EF" w:rsidRDefault="002B3668" w:rsidP="002B3668">
      <w:pPr>
        <w:pStyle w:val="a9"/>
        <w:spacing w:after="0" w:line="360" w:lineRule="auto"/>
        <w:ind w:left="368"/>
        <w:jc w:val="both"/>
        <w:rPr>
          <w:rFonts w:ascii="David" w:eastAsia="Calibri" w:hAnsi="David" w:cs="David"/>
          <w:sz w:val="24"/>
          <w:szCs w:val="24"/>
          <w:rtl/>
        </w:rPr>
      </w:pPr>
    </w:p>
    <w:p w:rsidR="002B3668" w:rsidRPr="006129EF" w:rsidRDefault="002B3668" w:rsidP="00F34460">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lastRenderedPageBreak/>
        <w:t xml:space="preserve">ביום 11.7.16 נעשתה פנייה למזכיר ביה"ד הרבני (נספח "4" לת/1) מטעם לשכת האוכלוסין במסגרתה התבקש לבדוק את סוגית יהדותה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ובנותיה. בהמשך, נקט האגף לבירור יהדות בהליך בביה"ד הרבני האזורי ב</w:t>
      </w:r>
      <w:r w:rsidR="00F34460">
        <w:rPr>
          <w:rFonts w:ascii="David" w:eastAsia="Calibri" w:hAnsi="David" w:cs="David" w:hint="cs"/>
          <w:sz w:val="24"/>
          <w:szCs w:val="24"/>
        </w:rPr>
        <w:t>XXX</w:t>
      </w:r>
      <w:r w:rsidRPr="006129EF">
        <w:rPr>
          <w:rFonts w:ascii="David" w:eastAsia="Calibri" w:hAnsi="David" w:cs="David"/>
          <w:sz w:val="24"/>
          <w:szCs w:val="24"/>
          <w:rtl/>
        </w:rPr>
        <w:t xml:space="preserve">- </w:t>
      </w:r>
      <w:r w:rsidRPr="006129EF">
        <w:rPr>
          <w:rFonts w:ascii="David" w:hAnsi="David" w:cs="David"/>
          <w:sz w:val="24"/>
          <w:szCs w:val="24"/>
          <w:rtl/>
        </w:rPr>
        <w:t xml:space="preserve">תיק אישור יהדות (שמספרו </w:t>
      </w:r>
      <w:r w:rsidR="00C65CB5">
        <w:rPr>
          <w:rFonts w:ascii="David" w:hAnsi="David" w:cs="David" w:hint="cs"/>
          <w:sz w:val="24"/>
          <w:szCs w:val="24"/>
        </w:rPr>
        <w:t>XXX</w:t>
      </w:r>
      <w:r w:rsidRPr="006129EF">
        <w:rPr>
          <w:rFonts w:ascii="David" w:hAnsi="David" w:cs="David"/>
          <w:sz w:val="24"/>
          <w:szCs w:val="24"/>
          <w:rtl/>
        </w:rPr>
        <w:t xml:space="preserve">) כנגד </w:t>
      </w:r>
      <w:r>
        <w:rPr>
          <w:rFonts w:ascii="David" w:hAnsi="David" w:cs="David" w:hint="cs"/>
          <w:sz w:val="24"/>
          <w:szCs w:val="24"/>
          <w:rtl/>
        </w:rPr>
        <w:t>פלונית</w:t>
      </w:r>
      <w:r w:rsidRPr="006129EF">
        <w:rPr>
          <w:rFonts w:ascii="David" w:hAnsi="David" w:cs="David"/>
          <w:sz w:val="24"/>
          <w:szCs w:val="24"/>
          <w:rtl/>
        </w:rPr>
        <w:t xml:space="preserve">, </w:t>
      </w:r>
      <w:r>
        <w:rPr>
          <w:rFonts w:ascii="David" w:hAnsi="David" w:cs="David" w:hint="cs"/>
          <w:sz w:val="24"/>
          <w:szCs w:val="24"/>
          <w:rtl/>
        </w:rPr>
        <w:t>אלמונית</w:t>
      </w:r>
      <w:r w:rsidRPr="006129EF">
        <w:rPr>
          <w:rFonts w:ascii="David" w:hAnsi="David" w:cs="David"/>
          <w:sz w:val="24"/>
          <w:szCs w:val="24"/>
          <w:rtl/>
        </w:rPr>
        <w:t xml:space="preserve">, הנכדים, </w:t>
      </w:r>
      <w:r>
        <w:rPr>
          <w:rFonts w:ascii="David" w:hAnsi="David" w:cs="David" w:hint="cs"/>
          <w:sz w:val="24"/>
          <w:szCs w:val="24"/>
          <w:rtl/>
        </w:rPr>
        <w:t>הבת הנוספת</w:t>
      </w:r>
      <w:r w:rsidRPr="006129EF">
        <w:rPr>
          <w:rFonts w:ascii="David" w:hAnsi="David" w:cs="David"/>
          <w:sz w:val="24"/>
          <w:szCs w:val="24"/>
          <w:rtl/>
        </w:rPr>
        <w:t xml:space="preserve"> ובנותיה (נספח "6" לת/1).</w:t>
      </w:r>
      <w:r w:rsidRPr="006129EF">
        <w:rPr>
          <w:rFonts w:ascii="David" w:eastAsia="Calibri" w:hAnsi="David" w:cs="David"/>
          <w:sz w:val="24"/>
          <w:szCs w:val="24"/>
          <w:rtl/>
        </w:rPr>
        <w:t xml:space="preserve"> גם במסגרת ההליך האמור, הגישה </w:t>
      </w:r>
      <w:r>
        <w:rPr>
          <w:rFonts w:ascii="David" w:eastAsia="Calibri" w:hAnsi="David" w:cs="David" w:hint="cs"/>
          <w:sz w:val="24"/>
          <w:szCs w:val="24"/>
          <w:rtl/>
        </w:rPr>
        <w:t>פלונית</w:t>
      </w:r>
      <w:r w:rsidRPr="006129EF">
        <w:rPr>
          <w:rFonts w:ascii="David" w:eastAsia="Calibri" w:hAnsi="David" w:cs="David"/>
          <w:sz w:val="24"/>
          <w:szCs w:val="24"/>
          <w:rtl/>
        </w:rPr>
        <w:t xml:space="preserve"> עמדה (נספח "6" לת/1) במסגרתה חזרה בעקביות על גרסתה בדבר היותה יהודיה. ראו סעיפים 62-64 לעמדה:</w:t>
      </w:r>
    </w:p>
    <w:p w:rsidR="002B3668" w:rsidRPr="006129EF" w:rsidRDefault="002B3668" w:rsidP="002B3668">
      <w:pPr>
        <w:pStyle w:val="a9"/>
        <w:spacing w:after="0" w:line="360" w:lineRule="auto"/>
        <w:ind w:left="283"/>
        <w:jc w:val="both"/>
        <w:rPr>
          <w:rFonts w:ascii="David" w:eastAsia="Calibri" w:hAnsi="David" w:cs="David"/>
          <w:sz w:val="24"/>
          <w:szCs w:val="24"/>
        </w:rPr>
      </w:pPr>
      <w:r w:rsidRPr="006129EF">
        <w:rPr>
          <w:rFonts w:ascii="David" w:eastAsia="Calibri" w:hAnsi="David" w:cs="David"/>
          <w:noProof/>
          <w:sz w:val="24"/>
          <w:szCs w:val="24"/>
        </w:rPr>
        <w:drawing>
          <wp:inline distT="0" distB="0" distL="0" distR="0" wp14:anchorId="59E853F1" wp14:editId="40E92582">
            <wp:extent cx="5219700" cy="1323975"/>
            <wp:effectExtent l="0" t="0" r="0" b="9525"/>
            <wp:docPr id="46" name="תמונה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9700" cy="1323975"/>
                    </a:xfrm>
                    <a:prstGeom prst="rect">
                      <a:avLst/>
                    </a:prstGeom>
                    <a:noFill/>
                    <a:ln>
                      <a:noFill/>
                    </a:ln>
                  </pic:spPr>
                </pic:pic>
              </a:graphicData>
            </a:graphic>
          </wp:inline>
        </w:drawing>
      </w:r>
    </w:p>
    <w:p w:rsidR="002B3668" w:rsidRPr="006129EF" w:rsidRDefault="002B3668" w:rsidP="002B3668">
      <w:pPr>
        <w:spacing w:line="360" w:lineRule="auto"/>
        <w:jc w:val="both"/>
        <w:rPr>
          <w:rFonts w:ascii="David" w:eastAsia="Calibri" w:hAnsi="David"/>
        </w:rPr>
      </w:pPr>
    </w:p>
    <w:p w:rsidR="002B3668" w:rsidRPr="006129EF" w:rsidRDefault="002B3668" w:rsidP="00C65CB5">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בהקשר זה יצוין כי לא הוצג בפניי פסק דין שניתן בהליך בביה"ד האזורי ב</w:t>
      </w:r>
      <w:r>
        <w:rPr>
          <w:rFonts w:ascii="David" w:hAnsi="David" w:cs="David" w:hint="cs"/>
          <w:sz w:val="24"/>
          <w:szCs w:val="24"/>
        </w:rPr>
        <w:t>XXX</w:t>
      </w:r>
      <w:r w:rsidRPr="006129EF">
        <w:rPr>
          <w:rFonts w:ascii="David" w:hAnsi="David" w:cs="David"/>
          <w:sz w:val="24"/>
          <w:szCs w:val="24"/>
          <w:rtl/>
        </w:rPr>
        <w:t xml:space="preserve"> כאמור- תיק אישור יהדות (שמספרו </w:t>
      </w:r>
      <w:r w:rsidR="00C65CB5">
        <w:rPr>
          <w:rFonts w:ascii="David" w:hAnsi="David" w:cs="David" w:hint="cs"/>
          <w:sz w:val="24"/>
          <w:szCs w:val="24"/>
        </w:rPr>
        <w:t>XXX</w:t>
      </w:r>
      <w:r w:rsidRPr="006129EF">
        <w:rPr>
          <w:rFonts w:ascii="David" w:hAnsi="David" w:cs="David"/>
          <w:sz w:val="24"/>
          <w:szCs w:val="24"/>
          <w:rtl/>
        </w:rPr>
        <w:t>), יצוין כי לענ</w:t>
      </w:r>
      <w:r>
        <w:rPr>
          <w:rFonts w:ascii="David" w:hAnsi="David" w:cs="David" w:hint="cs"/>
          <w:sz w:val="24"/>
          <w:szCs w:val="24"/>
          <w:rtl/>
        </w:rPr>
        <w:t>י</w:t>
      </w:r>
      <w:r w:rsidRPr="006129EF">
        <w:rPr>
          <w:rFonts w:ascii="David" w:hAnsi="David" w:cs="David"/>
          <w:sz w:val="24"/>
          <w:szCs w:val="24"/>
          <w:rtl/>
        </w:rPr>
        <w:t>ין הליך זה, ציינה המבקשת בסיכומיה כדלקמן (בסעיף 30):</w:t>
      </w:r>
    </w:p>
    <w:p w:rsidR="002B3668" w:rsidRPr="006129EF" w:rsidRDefault="002B3668" w:rsidP="002B3668">
      <w:pPr>
        <w:pStyle w:val="a9"/>
        <w:tabs>
          <w:tab w:val="left" w:pos="283"/>
        </w:tabs>
        <w:spacing w:after="0" w:line="360" w:lineRule="auto"/>
        <w:ind w:left="283"/>
        <w:jc w:val="both"/>
        <w:rPr>
          <w:rFonts w:ascii="David" w:hAnsi="David" w:cs="David"/>
          <w:sz w:val="24"/>
          <w:szCs w:val="24"/>
        </w:rPr>
      </w:pPr>
      <w:r w:rsidRPr="006129EF">
        <w:rPr>
          <w:rFonts w:ascii="David" w:hAnsi="David" w:cs="David"/>
          <w:noProof/>
          <w:sz w:val="24"/>
          <w:szCs w:val="24"/>
        </w:rPr>
        <w:drawing>
          <wp:inline distT="0" distB="0" distL="0" distR="0" wp14:anchorId="4B50C7B7" wp14:editId="750A8900">
            <wp:extent cx="5210175" cy="800100"/>
            <wp:effectExtent l="0" t="0" r="9525" b="0"/>
            <wp:docPr id="47" name="תמונה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0175" cy="800100"/>
                    </a:xfrm>
                    <a:prstGeom prst="rect">
                      <a:avLst/>
                    </a:prstGeom>
                    <a:noFill/>
                    <a:ln>
                      <a:noFill/>
                    </a:ln>
                  </pic:spPr>
                </pic:pic>
              </a:graphicData>
            </a:graphic>
          </wp:inline>
        </w:drawing>
      </w:r>
    </w:p>
    <w:p w:rsidR="002B3668" w:rsidRPr="006129EF" w:rsidRDefault="002B3668" w:rsidP="002B3668">
      <w:pPr>
        <w:pStyle w:val="a9"/>
        <w:spacing w:after="0" w:line="360" w:lineRule="auto"/>
        <w:ind w:left="283"/>
        <w:jc w:val="both"/>
        <w:rPr>
          <w:rFonts w:ascii="David" w:hAnsi="David" w:cs="David"/>
          <w:sz w:val="24"/>
          <w:szCs w:val="24"/>
          <w:rtl/>
        </w:rPr>
      </w:pPr>
      <w:r w:rsidRPr="006129EF">
        <w:rPr>
          <w:rFonts w:ascii="David" w:hAnsi="David" w:cs="David"/>
          <w:sz w:val="24"/>
          <w:szCs w:val="24"/>
          <w:rtl/>
        </w:rPr>
        <w:t xml:space="preserve">עוד יצוין כי במסגרת סיכומיהם, המשיבים לא התייחסו לקיומו של פסק דין/החלטה שניתנו (ככל וניתנו) בהליך האמור. </w:t>
      </w:r>
      <w:r w:rsidRPr="006129EF">
        <w:rPr>
          <w:rFonts w:ascii="David" w:hAnsi="David" w:cs="David"/>
          <w:sz w:val="24"/>
          <w:szCs w:val="24"/>
          <w:u w:val="single"/>
          <w:rtl/>
        </w:rPr>
        <w:t>מאחר ולא הוצג בפניי פסק הדין, יוצאת א</w:t>
      </w:r>
      <w:r>
        <w:rPr>
          <w:rFonts w:ascii="David" w:hAnsi="David" w:cs="David"/>
          <w:sz w:val="24"/>
          <w:szCs w:val="24"/>
          <w:u w:val="single"/>
          <w:rtl/>
        </w:rPr>
        <w:t xml:space="preserve">ני מנקודת הנחה כי טרם ניתן פסק </w:t>
      </w:r>
      <w:r w:rsidRPr="006129EF">
        <w:rPr>
          <w:rFonts w:ascii="David" w:hAnsi="David" w:cs="David"/>
          <w:sz w:val="24"/>
          <w:szCs w:val="24"/>
          <w:u w:val="single"/>
          <w:rtl/>
        </w:rPr>
        <w:t xml:space="preserve">דין בהליך זה. </w:t>
      </w:r>
    </w:p>
    <w:p w:rsidR="002B3668" w:rsidRPr="006129EF" w:rsidRDefault="002B3668" w:rsidP="002B3668">
      <w:pPr>
        <w:pStyle w:val="a9"/>
        <w:spacing w:after="0" w:line="360" w:lineRule="auto"/>
        <w:ind w:left="283"/>
        <w:jc w:val="both"/>
        <w:rPr>
          <w:rFonts w:ascii="David" w:hAnsi="David" w:cs="David"/>
          <w:sz w:val="24"/>
          <w:szCs w:val="24"/>
        </w:rPr>
      </w:pPr>
      <w:r w:rsidRPr="006129EF">
        <w:rPr>
          <w:rFonts w:ascii="David" w:hAnsi="David" w:cs="David"/>
          <w:sz w:val="24"/>
          <w:szCs w:val="24"/>
          <w:rtl/>
        </w:rPr>
        <w:t>בהקשר זה ייאמר כי כל עוד לא ניתן פסק דין סופי שיש בכוחו לבטל או לשנות את פסק הדין מיום 2.1.91, אינ</w:t>
      </w:r>
      <w:r>
        <w:rPr>
          <w:rFonts w:ascii="David" w:hAnsi="David" w:cs="David" w:hint="cs"/>
          <w:sz w:val="24"/>
          <w:szCs w:val="24"/>
          <w:rtl/>
        </w:rPr>
        <w:t>נ</w:t>
      </w:r>
      <w:r w:rsidRPr="006129EF">
        <w:rPr>
          <w:rFonts w:ascii="David" w:hAnsi="David" w:cs="David"/>
          <w:sz w:val="24"/>
          <w:szCs w:val="24"/>
          <w:rtl/>
        </w:rPr>
        <w:t>י סבורה כי עלי להידרש לראיות מהליך זה (לרבות עמדת מברר היהדות) שכן יתכן כי בהליכים הערעוריים יפסלו ראיות אלו.</w:t>
      </w:r>
    </w:p>
    <w:p w:rsidR="002B3668" w:rsidRPr="006129EF" w:rsidRDefault="002B3668" w:rsidP="002B3668">
      <w:pPr>
        <w:pStyle w:val="a9"/>
        <w:spacing w:after="0" w:line="360" w:lineRule="auto"/>
        <w:jc w:val="both"/>
        <w:rPr>
          <w:rFonts w:ascii="David" w:eastAsia="Calibri"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בהמשך, נשלח מטעם </w:t>
      </w:r>
      <w:r>
        <w:rPr>
          <w:rFonts w:ascii="David" w:eastAsia="Calibri" w:hAnsi="David" w:cs="David" w:hint="cs"/>
          <w:sz w:val="24"/>
          <w:szCs w:val="24"/>
          <w:rtl/>
        </w:rPr>
        <w:t>אלמונית</w:t>
      </w:r>
      <w:r w:rsidRPr="006129EF">
        <w:rPr>
          <w:rFonts w:ascii="David" w:eastAsia="Calibri" w:hAnsi="David" w:cs="David"/>
          <w:sz w:val="24"/>
          <w:szCs w:val="24"/>
          <w:rtl/>
        </w:rPr>
        <w:t xml:space="preserve"> ו</w:t>
      </w:r>
      <w:r>
        <w:rPr>
          <w:rFonts w:ascii="David" w:eastAsia="Calibri" w:hAnsi="David" w:cs="David" w:hint="cs"/>
          <w:sz w:val="24"/>
          <w:szCs w:val="24"/>
          <w:rtl/>
        </w:rPr>
        <w:t xml:space="preserve">בנה </w:t>
      </w:r>
      <w:r>
        <w:rPr>
          <w:rFonts w:ascii="David" w:eastAsia="Calibri" w:hAnsi="David" w:cs="David" w:hint="cs"/>
          <w:sz w:val="24"/>
          <w:szCs w:val="24"/>
        </w:rPr>
        <w:t>XXX</w:t>
      </w:r>
      <w:r w:rsidRPr="006129EF">
        <w:rPr>
          <w:rFonts w:ascii="David" w:eastAsia="Calibri" w:hAnsi="David" w:cs="David"/>
          <w:sz w:val="24"/>
          <w:szCs w:val="24"/>
          <w:rtl/>
        </w:rPr>
        <w:t xml:space="preserve"> מכתב ללשכת רשות האוכלוסין לעניין עיכוב רישום יהדותו של</w:t>
      </w:r>
      <w:r>
        <w:rPr>
          <w:rFonts w:ascii="David" w:eastAsia="Calibri" w:hAnsi="David" w:cs="David" w:hint="cs"/>
          <w:sz w:val="24"/>
          <w:szCs w:val="24"/>
          <w:rtl/>
        </w:rPr>
        <w:t xml:space="preserve"> בנה </w:t>
      </w:r>
      <w:r>
        <w:rPr>
          <w:rFonts w:ascii="David" w:eastAsia="Calibri" w:hAnsi="David" w:cs="David" w:hint="cs"/>
          <w:sz w:val="24"/>
          <w:szCs w:val="24"/>
        </w:rPr>
        <w:t>XXX</w:t>
      </w:r>
      <w:r w:rsidRPr="006129EF">
        <w:rPr>
          <w:rFonts w:ascii="David" w:eastAsia="Calibri" w:hAnsi="David" w:cs="David"/>
          <w:sz w:val="24"/>
          <w:szCs w:val="24"/>
          <w:rtl/>
        </w:rPr>
        <w:t xml:space="preserve"> ביום 31.7.18 (נספח "7" לת/1 בעמודים 74-75) מכתב אשר הוביל להתכתבות בין ב"כ </w:t>
      </w:r>
      <w:r>
        <w:rPr>
          <w:rFonts w:ascii="David" w:eastAsia="Calibri" w:hAnsi="David" w:cs="David" w:hint="cs"/>
          <w:sz w:val="24"/>
          <w:szCs w:val="24"/>
          <w:rtl/>
        </w:rPr>
        <w:t>אלמונית</w:t>
      </w:r>
      <w:r w:rsidRPr="006129EF">
        <w:rPr>
          <w:rFonts w:ascii="David" w:eastAsia="Calibri" w:hAnsi="David" w:cs="David"/>
          <w:sz w:val="24"/>
          <w:szCs w:val="24"/>
          <w:rtl/>
        </w:rPr>
        <w:t xml:space="preserve"> ו</w:t>
      </w:r>
      <w:r>
        <w:rPr>
          <w:rFonts w:ascii="David" w:eastAsia="Calibri" w:hAnsi="David" w:cs="David" w:hint="cs"/>
          <w:sz w:val="24"/>
          <w:szCs w:val="24"/>
          <w:rtl/>
        </w:rPr>
        <w:t xml:space="preserve">בנה </w:t>
      </w:r>
      <w:r>
        <w:rPr>
          <w:rFonts w:ascii="David" w:eastAsia="Calibri" w:hAnsi="David" w:cs="David" w:hint="cs"/>
          <w:sz w:val="24"/>
          <w:szCs w:val="24"/>
        </w:rPr>
        <w:t>XXX</w:t>
      </w:r>
      <w:r w:rsidRPr="006129EF">
        <w:rPr>
          <w:rFonts w:ascii="David" w:eastAsia="Calibri" w:hAnsi="David" w:cs="David"/>
          <w:sz w:val="24"/>
          <w:szCs w:val="24"/>
          <w:rtl/>
        </w:rPr>
        <w:t xml:space="preserve"> ללשכת רשות האוכלוסין כדלקמן (צורפה לנספח "7" לת/1):</w:t>
      </w:r>
    </w:p>
    <w:p w:rsidR="002B3668" w:rsidRPr="006129EF" w:rsidRDefault="002B3668" w:rsidP="002B3668">
      <w:pPr>
        <w:pStyle w:val="a9"/>
        <w:numPr>
          <w:ilvl w:val="0"/>
          <w:numId w:val="3"/>
        </w:numPr>
        <w:spacing w:after="0" w:line="360" w:lineRule="auto"/>
        <w:jc w:val="both"/>
        <w:rPr>
          <w:rFonts w:ascii="David" w:eastAsia="Calibri" w:hAnsi="David" w:cs="David"/>
          <w:sz w:val="24"/>
          <w:szCs w:val="24"/>
        </w:rPr>
      </w:pPr>
      <w:r w:rsidRPr="006129EF">
        <w:rPr>
          <w:rFonts w:ascii="David" w:eastAsia="Calibri" w:hAnsi="David" w:cs="David"/>
          <w:sz w:val="24"/>
          <w:szCs w:val="24"/>
          <w:rtl/>
        </w:rPr>
        <w:t>ביום 11.10.18 נשלח מכתב תשובה מטעם לשכת רשות האוכלוסין (בעמ' 80).</w:t>
      </w:r>
    </w:p>
    <w:p w:rsidR="002B3668" w:rsidRPr="006129EF" w:rsidRDefault="002B3668" w:rsidP="002B3668">
      <w:pPr>
        <w:pStyle w:val="a9"/>
        <w:numPr>
          <w:ilvl w:val="0"/>
          <w:numId w:val="3"/>
        </w:numPr>
        <w:spacing w:after="0" w:line="360" w:lineRule="auto"/>
        <w:jc w:val="both"/>
        <w:rPr>
          <w:rFonts w:ascii="David" w:eastAsia="Calibri" w:hAnsi="David" w:cs="David"/>
          <w:sz w:val="24"/>
          <w:szCs w:val="24"/>
        </w:rPr>
      </w:pPr>
      <w:r w:rsidRPr="006129EF">
        <w:rPr>
          <w:rFonts w:ascii="David" w:eastAsia="Calibri" w:hAnsi="David" w:cs="David"/>
          <w:sz w:val="24"/>
          <w:szCs w:val="24"/>
          <w:rtl/>
        </w:rPr>
        <w:t xml:space="preserve">ביום 5.11.18 נשלח מכתב מטעם </w:t>
      </w:r>
      <w:r>
        <w:rPr>
          <w:rFonts w:ascii="David" w:eastAsia="Calibri" w:hAnsi="David" w:cs="David" w:hint="cs"/>
          <w:sz w:val="24"/>
          <w:szCs w:val="24"/>
          <w:rtl/>
        </w:rPr>
        <w:t xml:space="preserve">אלמונית ובנה </w:t>
      </w:r>
      <w:r>
        <w:rPr>
          <w:rFonts w:ascii="David" w:eastAsia="Calibri" w:hAnsi="David" w:cs="David" w:hint="cs"/>
          <w:sz w:val="24"/>
          <w:szCs w:val="24"/>
        </w:rPr>
        <w:t>XXX</w:t>
      </w:r>
      <w:r w:rsidRPr="006129EF">
        <w:rPr>
          <w:rFonts w:ascii="David" w:eastAsia="Calibri" w:hAnsi="David" w:cs="David"/>
          <w:sz w:val="24"/>
          <w:szCs w:val="24"/>
          <w:rtl/>
        </w:rPr>
        <w:t xml:space="preserve"> במענה לרשות האוכלוסין (בעמ' 81). </w:t>
      </w:r>
    </w:p>
    <w:p w:rsidR="002B3668" w:rsidRPr="006129EF" w:rsidRDefault="002B3668" w:rsidP="002B3668">
      <w:pPr>
        <w:pStyle w:val="a9"/>
        <w:numPr>
          <w:ilvl w:val="0"/>
          <w:numId w:val="3"/>
        </w:numPr>
        <w:spacing w:after="0" w:line="360" w:lineRule="auto"/>
        <w:jc w:val="both"/>
        <w:rPr>
          <w:rFonts w:ascii="David" w:eastAsia="Calibri" w:hAnsi="David" w:cs="David"/>
          <w:sz w:val="24"/>
          <w:szCs w:val="24"/>
        </w:rPr>
      </w:pPr>
      <w:r w:rsidRPr="006129EF">
        <w:rPr>
          <w:rFonts w:ascii="David" w:eastAsia="Calibri" w:hAnsi="David" w:cs="David"/>
          <w:sz w:val="24"/>
          <w:szCs w:val="24"/>
          <w:rtl/>
        </w:rPr>
        <w:t xml:space="preserve">ביום 21.11.18 נשלח מכתב מטעם רשות האוכלוסין (בעמ' 82-83). </w:t>
      </w:r>
    </w:p>
    <w:p w:rsidR="002B3668" w:rsidRPr="006129EF" w:rsidRDefault="002B3668" w:rsidP="002B3668">
      <w:pPr>
        <w:pStyle w:val="a9"/>
        <w:numPr>
          <w:ilvl w:val="0"/>
          <w:numId w:val="3"/>
        </w:numPr>
        <w:spacing w:after="0" w:line="360" w:lineRule="auto"/>
        <w:jc w:val="both"/>
        <w:rPr>
          <w:rFonts w:ascii="David" w:eastAsia="Calibri" w:hAnsi="David" w:cs="David"/>
          <w:sz w:val="24"/>
          <w:szCs w:val="24"/>
        </w:rPr>
      </w:pPr>
      <w:r w:rsidRPr="006129EF">
        <w:rPr>
          <w:rFonts w:ascii="David" w:eastAsia="Calibri" w:hAnsi="David" w:cs="David"/>
          <w:sz w:val="24"/>
          <w:szCs w:val="24"/>
          <w:rtl/>
        </w:rPr>
        <w:t xml:space="preserve">ביום 27.12.18 נשלח מכתב מטעם </w:t>
      </w:r>
      <w:r>
        <w:rPr>
          <w:rFonts w:ascii="David" w:eastAsia="Calibri" w:hAnsi="David" w:cs="David" w:hint="cs"/>
          <w:sz w:val="24"/>
          <w:szCs w:val="24"/>
          <w:rtl/>
        </w:rPr>
        <w:t xml:space="preserve">אלמונית ובנה </w:t>
      </w:r>
      <w:r>
        <w:rPr>
          <w:rFonts w:ascii="David" w:eastAsia="Calibri" w:hAnsi="David" w:cs="David" w:hint="cs"/>
          <w:sz w:val="24"/>
          <w:szCs w:val="24"/>
        </w:rPr>
        <w:t>XXX</w:t>
      </w:r>
      <w:r w:rsidRPr="006129EF">
        <w:rPr>
          <w:rFonts w:ascii="David" w:eastAsia="Calibri" w:hAnsi="David" w:cs="David"/>
          <w:sz w:val="24"/>
          <w:szCs w:val="24"/>
          <w:rtl/>
        </w:rPr>
        <w:t xml:space="preserve"> (בעמ' 84-85).</w:t>
      </w:r>
    </w:p>
    <w:p w:rsidR="002B3668" w:rsidRPr="006129EF" w:rsidRDefault="002B3668" w:rsidP="002B3668">
      <w:pPr>
        <w:pStyle w:val="a9"/>
        <w:numPr>
          <w:ilvl w:val="0"/>
          <w:numId w:val="3"/>
        </w:numPr>
        <w:spacing w:after="0" w:line="360" w:lineRule="auto"/>
        <w:jc w:val="both"/>
        <w:rPr>
          <w:rFonts w:ascii="David" w:eastAsia="Calibri" w:hAnsi="David" w:cs="David"/>
          <w:sz w:val="24"/>
          <w:szCs w:val="24"/>
        </w:rPr>
      </w:pPr>
      <w:r w:rsidRPr="006129EF">
        <w:rPr>
          <w:rFonts w:ascii="David" w:eastAsia="Calibri" w:hAnsi="David" w:cs="David"/>
          <w:sz w:val="24"/>
          <w:szCs w:val="24"/>
          <w:rtl/>
        </w:rPr>
        <w:lastRenderedPageBreak/>
        <w:t>ביום 6.1.19 נשלח מכתב מטעם רשות האוכלוסין (בעמ' 86-87).</w:t>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ביום 27.3.19 הוגש ערר מטעם </w:t>
      </w:r>
      <w:r>
        <w:rPr>
          <w:rFonts w:ascii="David" w:eastAsia="Calibri" w:hAnsi="David" w:cs="David" w:hint="cs"/>
          <w:sz w:val="24"/>
          <w:szCs w:val="24"/>
          <w:rtl/>
        </w:rPr>
        <w:t>אלמונית</w:t>
      </w:r>
      <w:r w:rsidRPr="006129EF">
        <w:rPr>
          <w:rFonts w:ascii="David" w:eastAsia="Calibri" w:hAnsi="David" w:cs="David"/>
          <w:sz w:val="24"/>
          <w:szCs w:val="24"/>
          <w:rtl/>
        </w:rPr>
        <w:t xml:space="preserve"> ו</w:t>
      </w:r>
      <w:r>
        <w:rPr>
          <w:rFonts w:ascii="David" w:eastAsia="Calibri" w:hAnsi="David" w:cs="David" w:hint="cs"/>
          <w:sz w:val="24"/>
          <w:szCs w:val="24"/>
          <w:rtl/>
        </w:rPr>
        <w:t xml:space="preserve">בנה </w:t>
      </w:r>
      <w:r>
        <w:rPr>
          <w:rFonts w:ascii="David" w:eastAsia="Calibri" w:hAnsi="David" w:cs="David" w:hint="cs"/>
          <w:sz w:val="24"/>
          <w:szCs w:val="24"/>
        </w:rPr>
        <w:t>XXX</w:t>
      </w:r>
      <w:r w:rsidRPr="006129EF">
        <w:rPr>
          <w:rFonts w:ascii="David" w:eastAsia="Calibri" w:hAnsi="David" w:cs="David"/>
          <w:sz w:val="24"/>
          <w:szCs w:val="24"/>
          <w:rtl/>
        </w:rPr>
        <w:t xml:space="preserve"> (נספח "7" לת/1 בעמ' 88-92). הערר נדחה ביום 14.5.19 על ידי מנהל אגף מרשם במנהל האוכלוסין (נספח "7" לת/1 בעמ' 93). </w:t>
      </w:r>
      <w:r>
        <w:rPr>
          <w:rFonts w:ascii="David" w:eastAsia="Calibri" w:hAnsi="David" w:cs="David" w:hint="cs"/>
          <w:sz w:val="24"/>
          <w:szCs w:val="24"/>
          <w:rtl/>
        </w:rPr>
        <w:t xml:space="preserve">אלמונית ובנה </w:t>
      </w:r>
      <w:r>
        <w:rPr>
          <w:rFonts w:ascii="David" w:eastAsia="Calibri" w:hAnsi="David" w:cs="David" w:hint="cs"/>
          <w:sz w:val="24"/>
          <w:szCs w:val="24"/>
        </w:rPr>
        <w:t>XXX</w:t>
      </w:r>
      <w:r w:rsidRPr="006129EF">
        <w:rPr>
          <w:rFonts w:ascii="David" w:eastAsia="Calibri" w:hAnsi="David" w:cs="David"/>
          <w:sz w:val="24"/>
          <w:szCs w:val="24"/>
          <w:rtl/>
        </w:rPr>
        <w:t xml:space="preserve"> הגישו עתירה לבית המשפט לעניינים מנהליים ב</w:t>
      </w:r>
      <w:r>
        <w:rPr>
          <w:rFonts w:ascii="David" w:eastAsia="Calibri" w:hAnsi="David" w:cs="David" w:hint="cs"/>
          <w:sz w:val="24"/>
          <w:szCs w:val="24"/>
        </w:rPr>
        <w:t>XXX</w:t>
      </w:r>
      <w:r w:rsidRPr="006129EF">
        <w:rPr>
          <w:rFonts w:ascii="David" w:eastAsia="Calibri" w:hAnsi="David" w:cs="David"/>
          <w:sz w:val="24"/>
          <w:szCs w:val="24"/>
          <w:rtl/>
        </w:rPr>
        <w:t xml:space="preserve"> (עת"מ 45819-06-19) וביום 9.12.20 ניתן פסק דינה של כב' השופטת עינת אבמן-מולר (נספח "8 לת/1 בעמ' 95-99) במסגרתו נקבע כדלקמן (סעיף 15 לפסק הדין):</w:t>
      </w:r>
    </w:p>
    <w:p w:rsidR="002B3668" w:rsidRPr="006129EF" w:rsidRDefault="002B3668" w:rsidP="002B3668">
      <w:pPr>
        <w:pStyle w:val="a9"/>
        <w:spacing w:after="0" w:line="360" w:lineRule="auto"/>
        <w:ind w:left="283"/>
        <w:jc w:val="both"/>
        <w:rPr>
          <w:rFonts w:ascii="David" w:eastAsia="Calibri" w:hAnsi="David" w:cs="David"/>
          <w:sz w:val="24"/>
          <w:szCs w:val="24"/>
        </w:rPr>
      </w:pPr>
      <w:r w:rsidRPr="006129EF">
        <w:rPr>
          <w:rFonts w:ascii="David" w:eastAsia="Calibri" w:hAnsi="David" w:cs="David"/>
          <w:noProof/>
          <w:sz w:val="24"/>
          <w:szCs w:val="24"/>
        </w:rPr>
        <w:drawing>
          <wp:inline distT="0" distB="0" distL="0" distR="0" wp14:anchorId="3036B6D1" wp14:editId="3E104678">
            <wp:extent cx="5210175" cy="2657475"/>
            <wp:effectExtent l="0" t="0" r="9525" b="9525"/>
            <wp:docPr id="48" name="תמונה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0175" cy="2657475"/>
                    </a:xfrm>
                    <a:prstGeom prst="rect">
                      <a:avLst/>
                    </a:prstGeom>
                    <a:noFill/>
                    <a:ln>
                      <a:noFill/>
                    </a:ln>
                  </pic:spPr>
                </pic:pic>
              </a:graphicData>
            </a:graphic>
          </wp:inline>
        </w:drawing>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הנה כי כן, לנוכח כל המפורט לעיל, עולה בבירור כי </w:t>
      </w:r>
      <w:r w:rsidRPr="006129EF">
        <w:rPr>
          <w:rFonts w:ascii="David" w:eastAsia="Calibri" w:hAnsi="David" w:cs="David"/>
          <w:b/>
          <w:bCs/>
          <w:sz w:val="24"/>
          <w:szCs w:val="24"/>
          <w:u w:val="single"/>
          <w:rtl/>
        </w:rPr>
        <w:t>גרסתה של</w:t>
      </w:r>
      <w:r>
        <w:rPr>
          <w:rFonts w:ascii="David" w:eastAsia="Calibri" w:hAnsi="David" w:cs="David"/>
          <w:b/>
          <w:bCs/>
          <w:sz w:val="24"/>
          <w:szCs w:val="24"/>
          <w:u w:val="single"/>
          <w:rtl/>
        </w:rPr>
        <w:t xml:space="preserve"> </w:t>
      </w:r>
      <w:r>
        <w:rPr>
          <w:rFonts w:ascii="David" w:eastAsia="Calibri" w:hAnsi="David" w:cs="David" w:hint="cs"/>
          <w:b/>
          <w:bCs/>
          <w:sz w:val="24"/>
          <w:szCs w:val="24"/>
          <w:u w:val="single"/>
          <w:rtl/>
        </w:rPr>
        <w:t>פלונית</w:t>
      </w:r>
      <w:r w:rsidRPr="006129EF">
        <w:rPr>
          <w:rFonts w:ascii="David" w:eastAsia="Calibri" w:hAnsi="David" w:cs="David"/>
          <w:b/>
          <w:bCs/>
          <w:sz w:val="24"/>
          <w:szCs w:val="24"/>
          <w:u w:val="single"/>
          <w:rtl/>
        </w:rPr>
        <w:t xml:space="preserve"> לאורך השנים (משנת 1990 ועד היום) בדבר היותה יהודיה נותרה עקבית</w:t>
      </w:r>
      <w:r w:rsidRPr="006129EF">
        <w:rPr>
          <w:rFonts w:ascii="David" w:eastAsia="Calibri" w:hAnsi="David" w:cs="David"/>
          <w:sz w:val="24"/>
          <w:szCs w:val="24"/>
          <w:rtl/>
        </w:rPr>
        <w:t>.</w:t>
      </w:r>
    </w:p>
    <w:p w:rsidR="002B3668" w:rsidRPr="006129EF" w:rsidRDefault="002B3668" w:rsidP="002B3668">
      <w:pPr>
        <w:pStyle w:val="a9"/>
        <w:spacing w:after="0" w:line="360" w:lineRule="auto"/>
        <w:ind w:left="368"/>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u w:val="single"/>
          <w:rtl/>
        </w:rPr>
        <w:t>שלישית</w:t>
      </w:r>
      <w:r w:rsidRPr="006129EF">
        <w:rPr>
          <w:rFonts w:ascii="David" w:eastAsia="Calibri" w:hAnsi="David" w:cs="David"/>
          <w:sz w:val="24"/>
          <w:szCs w:val="24"/>
          <w:rtl/>
        </w:rPr>
        <w:t xml:space="preserve">- כפי שנסקר לעיל, בהתאם להלכת סקבורצוב מוטל על משרד הפנים הנטל לסתור את "חזקת הזכאות" של </w:t>
      </w:r>
      <w:r>
        <w:rPr>
          <w:rFonts w:ascii="David" w:eastAsia="Calibri" w:hAnsi="David" w:cs="David" w:hint="cs"/>
          <w:sz w:val="24"/>
          <w:szCs w:val="24"/>
          <w:rtl/>
        </w:rPr>
        <w:t>פלונית</w:t>
      </w:r>
      <w:r w:rsidRPr="006129EF">
        <w:rPr>
          <w:rFonts w:ascii="David" w:eastAsia="Calibri" w:hAnsi="David" w:cs="David"/>
          <w:sz w:val="24"/>
          <w:szCs w:val="24"/>
          <w:rtl/>
        </w:rPr>
        <w:t xml:space="preserve">. בשנת 2001 לאחר שנערכה בדיקה בתיקי המרשם של בני המשפחה ונמצא כי שני הוריה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רשומים בתעודת הלידה כרוסים (ראו: סעיף 7 לת/1) התבקשו </w:t>
      </w:r>
      <w:r>
        <w:rPr>
          <w:rFonts w:ascii="David" w:eastAsia="Calibri" w:hAnsi="David" w:cs="David" w:hint="cs"/>
          <w:sz w:val="24"/>
          <w:szCs w:val="24"/>
          <w:rtl/>
        </w:rPr>
        <w:t>פלונית</w:t>
      </w:r>
      <w:r w:rsidRPr="006129EF">
        <w:rPr>
          <w:rFonts w:ascii="David" w:eastAsia="Calibri" w:hAnsi="David" w:cs="David"/>
          <w:sz w:val="24"/>
          <w:szCs w:val="24"/>
          <w:rtl/>
        </w:rPr>
        <w:t xml:space="preserve">, </w:t>
      </w:r>
      <w:r>
        <w:rPr>
          <w:rFonts w:ascii="David" w:eastAsia="Calibri" w:hAnsi="David" w:cs="David" w:hint="cs"/>
          <w:sz w:val="24"/>
          <w:szCs w:val="24"/>
          <w:rtl/>
        </w:rPr>
        <w:t>אלמונית</w:t>
      </w:r>
      <w:r w:rsidRPr="006129EF">
        <w:rPr>
          <w:rFonts w:ascii="David" w:eastAsia="Calibri" w:hAnsi="David" w:cs="David"/>
          <w:sz w:val="24"/>
          <w:szCs w:val="24"/>
          <w:rtl/>
        </w:rPr>
        <w:t xml:space="preserve"> ו</w:t>
      </w:r>
      <w:r>
        <w:rPr>
          <w:rFonts w:ascii="David" w:eastAsia="Calibri" w:hAnsi="David" w:cs="David" w:hint="cs"/>
          <w:sz w:val="24"/>
          <w:szCs w:val="24"/>
          <w:rtl/>
        </w:rPr>
        <w:t>הבת הנוספת</w:t>
      </w:r>
      <w:r w:rsidRPr="006129EF">
        <w:rPr>
          <w:rFonts w:ascii="David" w:eastAsia="Calibri" w:hAnsi="David" w:cs="David"/>
          <w:sz w:val="24"/>
          <w:szCs w:val="24"/>
          <w:rtl/>
        </w:rPr>
        <w:t xml:space="preserve"> להגיע ללשכת רשות האוכלוסין. קיומן של תעודות הלידה העביר את הנטל לכתפיה של </w:t>
      </w:r>
      <w:r>
        <w:rPr>
          <w:rFonts w:ascii="David" w:eastAsia="Calibri" w:hAnsi="David" w:cs="David" w:hint="cs"/>
          <w:sz w:val="24"/>
          <w:szCs w:val="24"/>
          <w:rtl/>
        </w:rPr>
        <w:t>פלונית</w:t>
      </w:r>
      <w:r w:rsidRPr="006129EF">
        <w:rPr>
          <w:rFonts w:ascii="David" w:eastAsia="Calibri" w:hAnsi="David" w:cs="David"/>
          <w:sz w:val="24"/>
          <w:szCs w:val="24"/>
          <w:rtl/>
        </w:rPr>
        <w:t>. כבר בשלב זה, סיפקו</w:t>
      </w:r>
      <w:r>
        <w:rPr>
          <w:rFonts w:ascii="David" w:eastAsia="Calibri" w:hAnsi="David" w:cs="David" w:hint="cs"/>
          <w:sz w:val="24"/>
          <w:szCs w:val="24"/>
          <w:rtl/>
        </w:rPr>
        <w:t xml:space="preserve"> פלונית</w:t>
      </w:r>
      <w:r w:rsidRPr="006129EF">
        <w:rPr>
          <w:rFonts w:ascii="David" w:eastAsia="Calibri" w:hAnsi="David" w:cs="David"/>
          <w:sz w:val="24"/>
          <w:szCs w:val="24"/>
          <w:rtl/>
        </w:rPr>
        <w:t xml:space="preserve"> ובנותיה הסבר שיכול להתיישב עם הכתוב בתעודות הלידה. לטענתן, הוריה של </w:t>
      </w:r>
      <w:r>
        <w:rPr>
          <w:rFonts w:ascii="David" w:eastAsia="Calibri" w:hAnsi="David" w:cs="David" w:hint="cs"/>
          <w:sz w:val="24"/>
          <w:szCs w:val="24"/>
          <w:rtl/>
        </w:rPr>
        <w:t>פלונית</w:t>
      </w:r>
      <w:r w:rsidRPr="006129EF">
        <w:rPr>
          <w:rFonts w:ascii="David" w:eastAsia="Calibri" w:hAnsi="David" w:cs="David"/>
          <w:sz w:val="24"/>
          <w:szCs w:val="24"/>
          <w:rtl/>
        </w:rPr>
        <w:t xml:space="preserve"> העדיפו להירשם כרוסים ולרשום אותה כרוסיה, כדי שלא להיות חשופות לאנטישמיות ששררה בברית המועצות לשעבר באותה תקופה. לאור כך, חזר הנטל אל המבקשת לברר את הגרסה באמצעים העומדים לרשותה. בפועל, משרד הפנים החליט על הצורך בשינוי הרישום והגיש את תביעתו ללא שבירר וללא שבחן את טענותיה, וסבר שדי בתעודות הלידה בלבד, אין מנוס מלקבוע שהוא </w:t>
      </w:r>
      <w:r w:rsidRPr="006129EF">
        <w:rPr>
          <w:rFonts w:ascii="David" w:eastAsia="Calibri" w:hAnsi="David" w:cs="David"/>
          <w:b/>
          <w:bCs/>
          <w:sz w:val="24"/>
          <w:szCs w:val="24"/>
          <w:u w:val="single"/>
          <w:rtl/>
        </w:rPr>
        <w:t>לא הרים את נטל ההוכחה ולא עמד ברף הנדרש להוכחת שינוי הרישום המבוקש על ידו</w:t>
      </w:r>
      <w:r w:rsidRPr="006129EF">
        <w:rPr>
          <w:rFonts w:ascii="David" w:eastAsia="Calibri" w:hAnsi="David" w:cs="David"/>
          <w:sz w:val="24"/>
          <w:szCs w:val="24"/>
          <w:rtl/>
        </w:rPr>
        <w:t xml:space="preserve"> (ראו והשוו: עמ"ש 28713-09-19 בפי</w:t>
      </w:r>
      <w:r>
        <w:rPr>
          <w:rFonts w:ascii="David" w:eastAsia="Calibri" w:hAnsi="David" w:cs="David"/>
          <w:sz w:val="24"/>
          <w:szCs w:val="24"/>
          <w:rtl/>
        </w:rPr>
        <w:t>סקה 28 לפסק דינו של כב' השופט</w:t>
      </w:r>
      <w:r w:rsidRPr="006129EF">
        <w:rPr>
          <w:rFonts w:ascii="David" w:eastAsia="Calibri" w:hAnsi="David" w:cs="David"/>
          <w:sz w:val="24"/>
          <w:szCs w:val="24"/>
          <w:rtl/>
        </w:rPr>
        <w:t xml:space="preserve"> ג'יוסי). לא הוצגה בפניי ראיה</w:t>
      </w:r>
      <w:r w:rsidRPr="006129EF">
        <w:rPr>
          <w:rFonts w:ascii="David" w:hAnsi="David" w:cs="David"/>
          <w:sz w:val="24"/>
          <w:szCs w:val="24"/>
          <w:rtl/>
        </w:rPr>
        <w:t xml:space="preserve"> </w:t>
      </w:r>
      <w:r w:rsidRPr="006129EF">
        <w:rPr>
          <w:rFonts w:ascii="David" w:eastAsia="Calibri" w:hAnsi="David" w:cs="David"/>
          <w:sz w:val="24"/>
          <w:szCs w:val="24"/>
          <w:rtl/>
        </w:rPr>
        <w:t xml:space="preserve">שמשרד הפנים ערך בירור כלשהו לגבי </w:t>
      </w:r>
      <w:r w:rsidRPr="006129EF">
        <w:rPr>
          <w:rFonts w:ascii="David" w:eastAsia="Calibri" w:hAnsi="David" w:cs="David"/>
          <w:sz w:val="24"/>
          <w:szCs w:val="24"/>
          <w:rtl/>
        </w:rPr>
        <w:lastRenderedPageBreak/>
        <w:t xml:space="preserve">גרסת </w:t>
      </w:r>
      <w:r>
        <w:rPr>
          <w:rFonts w:ascii="David" w:eastAsia="Calibri" w:hAnsi="David" w:cs="David" w:hint="cs"/>
          <w:sz w:val="24"/>
          <w:szCs w:val="24"/>
          <w:rtl/>
        </w:rPr>
        <w:t>פלונית</w:t>
      </w:r>
      <w:r w:rsidRPr="006129EF">
        <w:rPr>
          <w:rFonts w:ascii="David" w:eastAsia="Calibri" w:hAnsi="David" w:cs="David"/>
          <w:sz w:val="24"/>
          <w:szCs w:val="24"/>
          <w:rtl/>
        </w:rPr>
        <w:t xml:space="preserve"> וההסבר שניתן על ידה, ולא הובהר האם ובאיזה אופן התבררה גרסתה מצד משרד הפנים, וכן האם נעשו פעולות משמעותיות לבירור ההסבר.</w:t>
      </w:r>
    </w:p>
    <w:p w:rsidR="002B3668" w:rsidRPr="006129EF" w:rsidRDefault="002B3668" w:rsidP="002B3668">
      <w:pPr>
        <w:pStyle w:val="a9"/>
        <w:spacing w:after="0" w:line="360" w:lineRule="auto"/>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Pr>
          <w:rFonts w:ascii="David" w:eastAsia="Calibri" w:hAnsi="David" w:cs="David"/>
          <w:sz w:val="24"/>
          <w:szCs w:val="24"/>
          <w:rtl/>
        </w:rPr>
        <w:t xml:space="preserve">בהקשר זה ייאמר כי ההסבר של </w:t>
      </w:r>
      <w:r>
        <w:rPr>
          <w:rFonts w:ascii="David" w:eastAsia="Calibri" w:hAnsi="David" w:cs="David" w:hint="cs"/>
          <w:sz w:val="24"/>
          <w:szCs w:val="24"/>
          <w:rtl/>
        </w:rPr>
        <w:t>פלונית</w:t>
      </w:r>
      <w:r w:rsidRPr="006129EF">
        <w:rPr>
          <w:rFonts w:ascii="David" w:eastAsia="Calibri" w:hAnsi="David" w:cs="David"/>
          <w:sz w:val="24"/>
          <w:szCs w:val="24"/>
          <w:rtl/>
        </w:rPr>
        <w:t xml:space="preserve">, לפיו הסיבה שבגינה נכתב בתעודת הלידה כי היא רוסיה (חשש מאנטישמיות) התקבלה בעניין סקבורצוב, כאשר בית המשפט העליון קיבל את טענתה של העותרת שם לפיה "נוכח האנטישמיות באוקראינה – נהוג היה בשעתו להירשם ברישומים הפומביים תחת הלאום רוסי, ולא תחת לאום יהודי, על מנת להקטין את החשש לפגיעה ביהודים" (שם, בפס' 25). </w:t>
      </w:r>
    </w:p>
    <w:p w:rsidR="002B3668" w:rsidRPr="006129EF" w:rsidRDefault="002B3668" w:rsidP="002B3668">
      <w:pPr>
        <w:pStyle w:val="a9"/>
        <w:spacing w:after="0" w:line="360" w:lineRule="auto"/>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זאת ועוד, חלוף הזמן מאז הרישום בשנת 1991, ועד שנדרשו להתגונן מפני שלילת הרישום בשנת 2001 (בחלוף עשור) העביר את נטל הראיה והשכנוע למשרד הפנים. מ</w:t>
      </w:r>
      <w:r>
        <w:rPr>
          <w:rFonts w:ascii="David" w:eastAsia="Calibri" w:hAnsi="David" w:cs="David"/>
          <w:sz w:val="24"/>
          <w:szCs w:val="24"/>
          <w:rtl/>
        </w:rPr>
        <w:t xml:space="preserve">דובר בתקופה משמעותית בה הסתמכו </w:t>
      </w:r>
      <w:r>
        <w:rPr>
          <w:rFonts w:ascii="David" w:eastAsia="Calibri" w:hAnsi="David" w:cs="David" w:hint="cs"/>
          <w:sz w:val="24"/>
          <w:szCs w:val="24"/>
          <w:rtl/>
        </w:rPr>
        <w:t>פלונית</w:t>
      </w:r>
      <w:r w:rsidRPr="006129EF">
        <w:rPr>
          <w:rFonts w:ascii="David" w:eastAsia="Calibri" w:hAnsi="David" w:cs="David"/>
          <w:sz w:val="24"/>
          <w:szCs w:val="24"/>
          <w:rtl/>
        </w:rPr>
        <w:t xml:space="preserve"> ומשפחתה על כך שהמדינה הכירה בהם כיהודים. ככל שחולפות השנים, הדרישה מהמשפחה לשמור על ראיות להוכחת יהדותם, כמו גם הציפייה שיצליחו להביא ראיות מארץ מולדתם, הולכות וקטנות (ראו והשוו: עמ"ש 28713-09-19 בפיס</w:t>
      </w:r>
      <w:r>
        <w:rPr>
          <w:rFonts w:ascii="David" w:eastAsia="Calibri" w:hAnsi="David" w:cs="David"/>
          <w:sz w:val="24"/>
          <w:szCs w:val="24"/>
          <w:rtl/>
        </w:rPr>
        <w:t xml:space="preserve">קה 28 לפסק דינו של כב' השופט </w:t>
      </w:r>
      <w:r w:rsidRPr="006129EF">
        <w:rPr>
          <w:rFonts w:ascii="David" w:eastAsia="Calibri" w:hAnsi="David" w:cs="David"/>
          <w:sz w:val="24"/>
          <w:szCs w:val="24"/>
          <w:rtl/>
        </w:rPr>
        <w:t>ג'יוסי).</w:t>
      </w:r>
    </w:p>
    <w:p w:rsidR="002B3668" w:rsidRPr="006129EF" w:rsidRDefault="002B3668" w:rsidP="002B3668">
      <w:pPr>
        <w:pStyle w:val="a9"/>
        <w:spacing w:after="0" w:line="360" w:lineRule="auto"/>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יתר על כן, גם חלוף הזמן מאז הוכרו המשפחה כיהודים בשנת 1991 והסתמכו על הכרה זו ועד להגשת התביעה ביום </w:t>
      </w:r>
      <w:r w:rsidRPr="006129EF">
        <w:rPr>
          <w:rFonts w:ascii="David" w:hAnsi="David" w:cs="David"/>
          <w:sz w:val="24"/>
          <w:szCs w:val="24"/>
          <w:rtl/>
        </w:rPr>
        <w:t xml:space="preserve">9.2.21, </w:t>
      </w:r>
      <w:r w:rsidRPr="006129EF">
        <w:rPr>
          <w:rFonts w:ascii="David" w:hAnsi="David" w:cs="David"/>
          <w:b/>
          <w:bCs/>
          <w:sz w:val="24"/>
          <w:szCs w:val="24"/>
          <w:u w:val="single"/>
          <w:rtl/>
        </w:rPr>
        <w:t>בחלוף</w:t>
      </w:r>
      <w:r w:rsidRPr="006129EF">
        <w:rPr>
          <w:rFonts w:ascii="David" w:eastAsia="Calibri" w:hAnsi="David" w:cs="David"/>
          <w:b/>
          <w:bCs/>
          <w:sz w:val="24"/>
          <w:szCs w:val="24"/>
          <w:u w:val="single"/>
          <w:rtl/>
        </w:rPr>
        <w:t xml:space="preserve"> 30 שנים</w:t>
      </w:r>
      <w:r w:rsidRPr="006129EF">
        <w:rPr>
          <w:rFonts w:ascii="David" w:eastAsia="Calibri" w:hAnsi="David" w:cs="David"/>
          <w:sz w:val="24"/>
          <w:szCs w:val="24"/>
          <w:rtl/>
        </w:rPr>
        <w:t xml:space="preserve">, תומכים אף הם בכך שהנטל לסתור את גרסתם חל על משרד הפנים. ראו לעניין זה הרחבה בהמשך פסק הדין (בפרק הדן בשיהוי המנהלי להלן). </w:t>
      </w:r>
    </w:p>
    <w:p w:rsidR="002B3668" w:rsidRPr="006129EF" w:rsidRDefault="002B3668" w:rsidP="002B3668">
      <w:pPr>
        <w:pStyle w:val="a9"/>
        <w:spacing w:after="0" w:line="360" w:lineRule="auto"/>
        <w:ind w:left="283"/>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b/>
          <w:bCs/>
          <w:sz w:val="24"/>
          <w:szCs w:val="24"/>
          <w:rtl/>
        </w:rPr>
      </w:pPr>
      <w:r w:rsidRPr="006129EF">
        <w:rPr>
          <w:rFonts w:ascii="David" w:eastAsia="Calibri" w:hAnsi="David" w:cs="David"/>
          <w:sz w:val="24"/>
          <w:szCs w:val="24"/>
          <w:rtl/>
        </w:rPr>
        <w:t>רא</w:t>
      </w:r>
      <w:r>
        <w:rPr>
          <w:rFonts w:ascii="David" w:eastAsia="Calibri" w:hAnsi="David" w:cs="David"/>
          <w:sz w:val="24"/>
          <w:szCs w:val="24"/>
          <w:rtl/>
        </w:rPr>
        <w:t xml:space="preserve">ויים לציון הם דברי כב' השופט </w:t>
      </w:r>
      <w:r w:rsidRPr="006129EF">
        <w:rPr>
          <w:rFonts w:ascii="David" w:eastAsia="Calibri" w:hAnsi="David" w:cs="David"/>
          <w:sz w:val="24"/>
          <w:szCs w:val="24"/>
          <w:rtl/>
        </w:rPr>
        <w:t xml:space="preserve">ג'יוסי בעמ"ש פלוני אשר דומה כי הם נכתבו בענייננו (בפיסקה 29): </w:t>
      </w:r>
      <w:r w:rsidRPr="006129EF">
        <w:rPr>
          <w:rFonts w:ascii="David" w:eastAsia="Calibri" w:hAnsi="David" w:cs="David"/>
          <w:b/>
          <w:bCs/>
          <w:sz w:val="24"/>
          <w:szCs w:val="24"/>
          <w:rtl/>
        </w:rPr>
        <w:t>"...לכך יש להוסיף את העובדה שמדובר במשפחה שלמה, שחיה בישראל במשך 30 שנה ובכל הזמן הזה ראתה עצמה כחלק מהלאום היהודי והדת היהודית. ככל שהשנים חולפות ושרשרת הדורות נמשכת, גוברת ההסתמכות של המשפחה על אותו רישום, ועולה המשקל שיש ליחס לה, בגדרי תביעה לשינוי המרשם. ככל שחולף הזמן, כך גובר הצורך בראיות איכותיות, בעוצמה גבוהה מצדו של משרד הפנים הולך ועולה, לצד ההקלה בדרישות הראייתיות מצד המשפחה".</w:t>
      </w:r>
    </w:p>
    <w:p w:rsidR="002B3668" w:rsidRPr="006129EF" w:rsidRDefault="002B3668" w:rsidP="002B3668">
      <w:pPr>
        <w:pStyle w:val="a9"/>
        <w:spacing w:after="0" w:line="360" w:lineRule="auto"/>
        <w:ind w:left="283"/>
        <w:jc w:val="both"/>
        <w:rPr>
          <w:rFonts w:ascii="David" w:eastAsia="Calibri" w:hAnsi="David" w:cs="David"/>
          <w:sz w:val="24"/>
          <w:szCs w:val="24"/>
          <w:u w:val="single"/>
          <w:rtl/>
        </w:rPr>
      </w:pPr>
      <w:r w:rsidRPr="006129EF">
        <w:rPr>
          <w:rFonts w:ascii="David" w:eastAsia="Calibri" w:hAnsi="David" w:cs="David"/>
          <w:b/>
          <w:bCs/>
          <w:sz w:val="24"/>
          <w:szCs w:val="24"/>
          <w:u w:val="single"/>
          <w:rtl/>
        </w:rPr>
        <w:t xml:space="preserve">הוא הדין בענייננו.  </w:t>
      </w:r>
    </w:p>
    <w:p w:rsidR="002B3668" w:rsidRPr="006129EF" w:rsidRDefault="002B3668" w:rsidP="002B3668">
      <w:pPr>
        <w:pStyle w:val="a9"/>
        <w:spacing w:after="0" w:line="360" w:lineRule="auto"/>
        <w:ind w:left="283"/>
        <w:jc w:val="both"/>
        <w:rPr>
          <w:rFonts w:ascii="David" w:eastAsia="Calibri" w:hAnsi="David" w:cs="David"/>
          <w:sz w:val="24"/>
          <w:szCs w:val="24"/>
          <w:u w:val="single"/>
          <w:rtl/>
        </w:rPr>
      </w:pPr>
    </w:p>
    <w:p w:rsidR="002B3668"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אציין לעני</w:t>
      </w:r>
      <w:r>
        <w:rPr>
          <w:rFonts w:ascii="David" w:eastAsia="Calibri" w:hAnsi="David" w:cs="David" w:hint="cs"/>
          <w:sz w:val="24"/>
          <w:szCs w:val="24"/>
          <w:rtl/>
        </w:rPr>
        <w:t>י</w:t>
      </w:r>
      <w:r w:rsidRPr="006129EF">
        <w:rPr>
          <w:rFonts w:ascii="David" w:eastAsia="Calibri" w:hAnsi="David" w:cs="David"/>
          <w:sz w:val="24"/>
          <w:szCs w:val="24"/>
          <w:rtl/>
        </w:rPr>
        <w:t xml:space="preserve">ן </w:t>
      </w:r>
      <w:r>
        <w:rPr>
          <w:rFonts w:ascii="David" w:eastAsia="Calibri" w:hAnsi="David" w:cs="David" w:hint="cs"/>
          <w:sz w:val="24"/>
          <w:szCs w:val="24"/>
          <w:rtl/>
        </w:rPr>
        <w:t xml:space="preserve">זה את </w:t>
      </w:r>
      <w:r w:rsidRPr="006129EF">
        <w:rPr>
          <w:rFonts w:ascii="David" w:eastAsia="Calibri" w:hAnsi="David" w:cs="David"/>
          <w:sz w:val="24"/>
          <w:szCs w:val="24"/>
          <w:rtl/>
        </w:rPr>
        <w:t xml:space="preserve">טענת המבקשת לפיה הימנעות המשיבים מלהעיד את </w:t>
      </w:r>
      <w:r>
        <w:rPr>
          <w:rFonts w:ascii="David" w:eastAsia="Calibri" w:hAnsi="David" w:cs="David" w:hint="cs"/>
          <w:sz w:val="24"/>
          <w:szCs w:val="24"/>
          <w:rtl/>
        </w:rPr>
        <w:t>פלונית</w:t>
      </w:r>
      <w:r w:rsidRPr="006129EF">
        <w:rPr>
          <w:rFonts w:ascii="David" w:eastAsia="Calibri" w:hAnsi="David" w:cs="David"/>
          <w:sz w:val="24"/>
          <w:szCs w:val="24"/>
          <w:rtl/>
        </w:rPr>
        <w:t xml:space="preserve"> נזקפת לחובתם, כי מקבלת אני את עמדת המשיבים לענ</w:t>
      </w:r>
      <w:r>
        <w:rPr>
          <w:rFonts w:ascii="David" w:eastAsia="Calibri" w:hAnsi="David" w:cs="David" w:hint="cs"/>
          <w:sz w:val="24"/>
          <w:szCs w:val="24"/>
          <w:rtl/>
        </w:rPr>
        <w:t>י</w:t>
      </w:r>
      <w:r w:rsidRPr="006129EF">
        <w:rPr>
          <w:rFonts w:ascii="David" w:eastAsia="Calibri" w:hAnsi="David" w:cs="David"/>
          <w:sz w:val="24"/>
          <w:szCs w:val="24"/>
          <w:rtl/>
        </w:rPr>
        <w:t>ין זה כפי שבאה לידי ביטוי בסעיפים 4-5 לסיכומיהם:</w:t>
      </w:r>
    </w:p>
    <w:p w:rsidR="00C65CB5" w:rsidRPr="00C65CB5" w:rsidRDefault="00C65CB5" w:rsidP="00C65CB5">
      <w:pPr>
        <w:pStyle w:val="a9"/>
        <w:spacing w:after="0" w:line="360" w:lineRule="auto"/>
        <w:ind w:left="283"/>
        <w:jc w:val="both"/>
        <w:rPr>
          <w:rFonts w:ascii="David" w:eastAsia="Calibri" w:hAnsi="David" w:cs="David"/>
          <w:b/>
          <w:bCs/>
          <w:sz w:val="24"/>
          <w:szCs w:val="24"/>
          <w:rtl/>
        </w:rPr>
      </w:pPr>
      <w:r w:rsidRPr="00C65CB5">
        <w:rPr>
          <w:rFonts w:ascii="David" w:eastAsia="Calibri" w:hAnsi="David" w:cs="David" w:hint="cs"/>
          <w:b/>
          <w:bCs/>
          <w:sz w:val="24"/>
          <w:szCs w:val="24"/>
          <w:rtl/>
        </w:rPr>
        <w:t>"</w:t>
      </w:r>
      <w:r w:rsidR="002B3668" w:rsidRPr="00C65CB5">
        <w:rPr>
          <w:rFonts w:ascii="David" w:eastAsia="Calibri" w:hAnsi="David" w:cs="David" w:hint="cs"/>
          <w:b/>
          <w:bCs/>
          <w:sz w:val="24"/>
          <w:szCs w:val="24"/>
          <w:rtl/>
        </w:rPr>
        <w:t>4.</w:t>
      </w:r>
      <w:r w:rsidRPr="00C65CB5">
        <w:rPr>
          <w:rFonts w:ascii="David" w:eastAsia="Calibri" w:hAnsi="David" w:cs="David" w:hint="cs"/>
          <w:b/>
          <w:bCs/>
          <w:sz w:val="24"/>
          <w:szCs w:val="24"/>
          <w:rtl/>
        </w:rPr>
        <w:t xml:space="preserve"> </w:t>
      </w:r>
      <w:r w:rsidR="002B3668" w:rsidRPr="00C65CB5">
        <w:rPr>
          <w:rFonts w:ascii="David" w:eastAsia="Calibri" w:hAnsi="David" w:cs="David" w:hint="cs"/>
          <w:b/>
          <w:bCs/>
          <w:sz w:val="24"/>
          <w:szCs w:val="24"/>
          <w:rtl/>
        </w:rPr>
        <w:t>מצדם של המשיבים העידה רק בתה של פלונית, אלמונית. העדה של המשיבים הייתה נציגת המשפחה, שעה שלאיש במשפחה כבר אין מידע מלא וז</w:t>
      </w:r>
      <w:r>
        <w:rPr>
          <w:rFonts w:ascii="David" w:eastAsia="Calibri" w:hAnsi="David" w:cs="David" w:hint="cs"/>
          <w:b/>
          <w:bCs/>
          <w:sz w:val="24"/>
          <w:szCs w:val="24"/>
          <w:rtl/>
        </w:rPr>
        <w:t>י</w:t>
      </w:r>
      <w:r w:rsidR="002B3668" w:rsidRPr="00C65CB5">
        <w:rPr>
          <w:rFonts w:ascii="David" w:eastAsia="Calibri" w:hAnsi="David" w:cs="David" w:hint="cs"/>
          <w:b/>
          <w:bCs/>
          <w:sz w:val="24"/>
          <w:szCs w:val="24"/>
          <w:rtl/>
        </w:rPr>
        <w:t xml:space="preserve">כרונות מניהול ההליך בשנת 1991. זו הסיבה מדוע העדיפו המשיבים כי הבת תשמע ולא האם, בת 71, שאינה שולטת בעברית והתרגשותה מן ההליכים המאוחרים מביאה עליה חוסר שקט קיצוני. </w:t>
      </w:r>
    </w:p>
    <w:p w:rsidR="002B3668" w:rsidRPr="00C65CB5" w:rsidRDefault="00C65CB5" w:rsidP="00C65CB5">
      <w:pPr>
        <w:pStyle w:val="a9"/>
        <w:spacing w:after="0" w:line="360" w:lineRule="auto"/>
        <w:ind w:left="283"/>
        <w:jc w:val="both"/>
        <w:rPr>
          <w:rFonts w:ascii="David" w:eastAsia="Calibri" w:hAnsi="David" w:cs="David"/>
          <w:b/>
          <w:bCs/>
          <w:sz w:val="24"/>
          <w:szCs w:val="24"/>
        </w:rPr>
      </w:pPr>
      <w:r w:rsidRPr="00C65CB5">
        <w:rPr>
          <w:rFonts w:ascii="David" w:eastAsia="Calibri" w:hAnsi="David" w:cs="David" w:hint="cs"/>
          <w:b/>
          <w:bCs/>
          <w:sz w:val="24"/>
          <w:szCs w:val="24"/>
          <w:rtl/>
        </w:rPr>
        <w:lastRenderedPageBreak/>
        <w:t xml:space="preserve">5. </w:t>
      </w:r>
      <w:r w:rsidR="002B3668" w:rsidRPr="00C65CB5">
        <w:rPr>
          <w:rFonts w:ascii="David" w:eastAsia="Calibri" w:hAnsi="David" w:cs="David" w:hint="cs"/>
          <w:b/>
          <w:bCs/>
          <w:sz w:val="24"/>
          <w:szCs w:val="24"/>
          <w:rtl/>
        </w:rPr>
        <w:t xml:space="preserve">יחד עם זאת, כפי שצוין על ידי המבקשת עצמה, גב' פלונית, האם , הייתה נוכחת בכל הדיונים, לרבות בדיון ההוכחות. העובדה שהמשיבים לא מבקשים להעיד אותה הייתה ידועה למבקשת עוד לפני דיון ההוכחות, לאחר הגשת התצהירים, כשנה לפני מועד דיון ההוכחות, כך שהמבקש, ככל שהיה מעוניין בכך, היה רשאי לקרוא לה לעדות, והכל אילו רק המבקש סבר כי היא, העדות של פלונית </w:t>
      </w:r>
      <w:r w:rsidRPr="00C65CB5">
        <w:rPr>
          <w:rFonts w:ascii="David" w:eastAsia="Calibri" w:hAnsi="David" w:cs="David" w:hint="cs"/>
          <w:b/>
          <w:bCs/>
          <w:sz w:val="24"/>
          <w:szCs w:val="24"/>
          <w:rtl/>
        </w:rPr>
        <w:t>נחוצה".</w:t>
      </w:r>
      <w:r w:rsidR="002B3668" w:rsidRPr="00C65CB5">
        <w:rPr>
          <w:rFonts w:ascii="David" w:eastAsia="Calibri" w:hAnsi="David" w:cs="David" w:hint="cs"/>
          <w:b/>
          <w:bCs/>
          <w:sz w:val="24"/>
          <w:szCs w:val="24"/>
          <w:rtl/>
        </w:rPr>
        <w:t xml:space="preserve"> </w:t>
      </w:r>
    </w:p>
    <w:p w:rsidR="002B3668" w:rsidRPr="006129EF" w:rsidRDefault="002B3668" w:rsidP="002B3668">
      <w:pPr>
        <w:pStyle w:val="a9"/>
        <w:spacing w:after="0" w:line="360" w:lineRule="auto"/>
        <w:ind w:left="283"/>
        <w:jc w:val="both"/>
        <w:rPr>
          <w:rFonts w:ascii="David" w:eastAsia="Calibri" w:hAnsi="David" w:cs="David"/>
          <w:sz w:val="24"/>
          <w:szCs w:val="24"/>
          <w:u w:val="single"/>
          <w:rtl/>
        </w:rPr>
      </w:pPr>
      <w:r w:rsidRPr="006129EF">
        <w:rPr>
          <w:rFonts w:ascii="David" w:eastAsia="Calibri" w:hAnsi="David" w:cs="David"/>
          <w:sz w:val="24"/>
          <w:szCs w:val="24"/>
          <w:rtl/>
        </w:rPr>
        <w:t xml:space="preserve"> </w:t>
      </w:r>
    </w:p>
    <w:p w:rsidR="002B3668" w:rsidRPr="006129EF" w:rsidRDefault="002B3668" w:rsidP="002B3668">
      <w:pPr>
        <w:pStyle w:val="a9"/>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הדברים עולים בקנה אחד עם האמור לעיל בדבר העברת נטל הראיה והשכנוע לעבר המבקשת.</w:t>
      </w:r>
    </w:p>
    <w:p w:rsidR="002B3668" w:rsidRPr="006129EF" w:rsidRDefault="002B3668" w:rsidP="002B3668">
      <w:pPr>
        <w:pStyle w:val="a9"/>
        <w:spacing w:after="0" w:line="360" w:lineRule="auto"/>
        <w:ind w:left="283"/>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tl/>
        </w:rPr>
      </w:pPr>
      <w:r w:rsidRPr="006129EF">
        <w:rPr>
          <w:rFonts w:ascii="David" w:eastAsia="Calibri" w:hAnsi="David" w:cs="David"/>
          <w:sz w:val="24"/>
          <w:szCs w:val="24"/>
          <w:rtl/>
        </w:rPr>
        <w:t xml:space="preserve">יתר על כן, על המקרה הנוכחי חלים כללי השיהוי המנהלי המביאים למסקנה כי </w:t>
      </w:r>
      <w:r w:rsidRPr="006129EF">
        <w:rPr>
          <w:rFonts w:ascii="David" w:eastAsia="Calibri" w:hAnsi="David" w:cs="David"/>
          <w:sz w:val="24"/>
          <w:szCs w:val="24"/>
          <w:u w:val="single"/>
          <w:rtl/>
        </w:rPr>
        <w:t>יש לדחות את התביעה מחמת שיהוי מנהלי</w:t>
      </w:r>
      <w:r w:rsidRPr="006129EF">
        <w:rPr>
          <w:rFonts w:ascii="David" w:eastAsia="Calibri" w:hAnsi="David" w:cs="David"/>
          <w:sz w:val="24"/>
          <w:szCs w:val="24"/>
          <w:rtl/>
        </w:rPr>
        <w:t>. ואבאר דבריי.</w:t>
      </w:r>
    </w:p>
    <w:p w:rsidR="002B3668" w:rsidRPr="006129EF" w:rsidRDefault="002B3668" w:rsidP="002B3668">
      <w:pPr>
        <w:pStyle w:val="a9"/>
        <w:spacing w:after="0" w:line="360" w:lineRule="auto"/>
        <w:ind w:left="283"/>
        <w:jc w:val="both"/>
        <w:rPr>
          <w:rFonts w:ascii="David" w:eastAsia="Calibri" w:hAnsi="David" w:cs="David"/>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b/>
          <w:bCs/>
          <w:sz w:val="24"/>
          <w:szCs w:val="24"/>
          <w:u w:val="single"/>
        </w:rPr>
      </w:pPr>
      <w:r w:rsidRPr="006129EF">
        <w:rPr>
          <w:rFonts w:ascii="David" w:eastAsia="Calibri" w:hAnsi="David" w:cs="David"/>
          <w:sz w:val="24"/>
          <w:szCs w:val="24"/>
          <w:rtl/>
        </w:rPr>
        <w:t>כידוע, "</w:t>
      </w:r>
      <w:r w:rsidRPr="006129EF">
        <w:rPr>
          <w:rFonts w:ascii="David" w:eastAsia="Calibri" w:hAnsi="David" w:cs="David"/>
          <w:b/>
          <w:bCs/>
          <w:sz w:val="24"/>
          <w:szCs w:val="24"/>
          <w:rtl/>
        </w:rPr>
        <w:t xml:space="preserve">דוקטרינת השיהוי המנהלי עניינה בחובתה של הרשות המנהלית להפעיל את סמכותה תוך זמן סביר ובמהירות הראויה. חובה זו נגזרת מחובתה הכללית לפעול בהגינות כלפי הציבור (ראו: יצחק זמיר הסמכות המינהלית כרך ב – ההליך המינהלי 1094-1092 (2011) (להלן: זמיר)). מקום שבו הרשות אינה פועלת במהירות הראויה ותוך זמן סביר, קרי נוקטת שיהוי, הדבר יכול להוביל למגוון סעדים, וביניהם ביטול המעשה המנהלי (ראו: זמיר, בעמ' 1110; בג"ץ 174/88 אמיתי נ' הוועדה המקומית לתכנון ולבנייה, המרכז, פ"ד מב(4) 89, 99 (1988); עע"מ 1369/06 הלביץ נ' הועדה המקומית לתכנון ולבנייה חדרה, פ"ד סב(4) 634, 672-657 (2008)). ברם, סעד זה יינתן במקרים חריגים, והוא מותנה באיזון האינטרסים המעורבים במקרה. במסגרת איזון האינטרסים, יש לשקול את התנהלות הרשות ומידת השיהוי, כמו גם את הנזק שנגרם למי שהרשות מבקשת להפעיל סמכותה כנגדו כתוצאה מהשיהוי, אל מול האינטרס הציבורי בהפעלת סמכותה של הרשות ובאכיפת הדין (ראו: זמיר, בעמ' 1111-1110; בג"ץ 1135/93 טריידט ס.א., חברה זרה נ' הוועדה המקומית לתכנון ולבנייה, הרצליה, פ"ד מח(2) 622, 633-630 (1994); עע"מ 867/11 עיריית תל אביב-יפו נ' אי.בי.סי ניהול ואחזקה בע"מ, פס' 30 [פורסם בנבו] (28.12.2014) (להלן: עניין עיריית תל אביב-יפו)). עוד יש לזכור כי בעוד שדוקטרינת ההתיישנות מאופיינת כהסדר סגור מסוג כלל, דוקטרינת השיהוי מאופיינת כהסדר פתוח מסוג סטנדרט, כך שניתן להחילה באופן גמיש ולגזור ממנה את הסעד הראוי בהתאם לנסיבות המקרה (ראו: עניין עיריית תל אביב-יפו, פס' 19). בהקשר זה יש להדגיש כי בניגוד לעולה מפסק דינה של כב' השופטת ע' אטיאס (בפס' 14), אי-קבלת טענת התיישנות אינה גוזרת גזירה שווה על טענת שיהוי, ומצדיקה את דחייתה של האחרונה" </w:t>
      </w:r>
      <w:r w:rsidRPr="006129EF">
        <w:rPr>
          <w:rFonts w:ascii="David" w:eastAsia="Calibri" w:hAnsi="David" w:cs="David"/>
          <w:sz w:val="24"/>
          <w:szCs w:val="24"/>
          <w:rtl/>
        </w:rPr>
        <w:t>(ראו:</w:t>
      </w:r>
      <w:r w:rsidRPr="006129EF">
        <w:rPr>
          <w:rFonts w:ascii="David" w:eastAsia="Calibri" w:hAnsi="David" w:cs="David"/>
          <w:b/>
          <w:bCs/>
          <w:sz w:val="24"/>
          <w:szCs w:val="24"/>
          <w:rtl/>
        </w:rPr>
        <w:t xml:space="preserve"> </w:t>
      </w:r>
      <w:r w:rsidRPr="006129EF">
        <w:rPr>
          <w:rFonts w:ascii="David" w:eastAsia="Calibri" w:hAnsi="David" w:cs="David"/>
          <w:sz w:val="24"/>
          <w:szCs w:val="24"/>
          <w:rtl/>
        </w:rPr>
        <w:t>החלטתו של כב' המשנה לנשיאה (בדימוס) נ' הנדל בבע"מ 3358/20 פלוני נ' מדינת ישראל משרד הפנים [פורסם בנבו] (20.7.22) בפיסקה 7).</w:t>
      </w:r>
    </w:p>
    <w:p w:rsidR="002B3668" w:rsidRPr="006129EF" w:rsidRDefault="002B3668" w:rsidP="002B3668">
      <w:pPr>
        <w:pStyle w:val="a9"/>
        <w:spacing w:after="0" w:line="360" w:lineRule="auto"/>
        <w:jc w:val="both"/>
        <w:rPr>
          <w:rFonts w:ascii="David" w:eastAsia="Calibri"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tl/>
        </w:rPr>
      </w:pPr>
      <w:r w:rsidRPr="006129EF">
        <w:rPr>
          <w:rFonts w:ascii="David" w:eastAsia="Calibri" w:hAnsi="David" w:cs="David"/>
          <w:sz w:val="24"/>
          <w:szCs w:val="24"/>
          <w:rtl/>
        </w:rPr>
        <w:t>במקרה דנן, אני סבורה כי חלוף הזמן- מהמועד שנדרשה המשפחה להתגונן מפני שלילת הרישום בשנת 2001 ועד להגשת התובענה בשנת 2021 מצדיק אף הוא את דחיית התביעה מחמת שיהוי מנהלי, כפי שיבואר להלן.</w:t>
      </w:r>
    </w:p>
    <w:p w:rsidR="002B3668" w:rsidRPr="006129EF" w:rsidRDefault="002B3668" w:rsidP="002B3668">
      <w:pPr>
        <w:pStyle w:val="a9"/>
        <w:spacing w:after="0" w:line="360" w:lineRule="auto"/>
        <w:jc w:val="both"/>
        <w:rPr>
          <w:rFonts w:ascii="David" w:eastAsia="Calibri" w:hAnsi="David" w:cs="David"/>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tl/>
        </w:rPr>
      </w:pPr>
      <w:r w:rsidRPr="006129EF">
        <w:rPr>
          <w:rFonts w:ascii="David" w:eastAsia="Calibri" w:hAnsi="David" w:cs="David"/>
          <w:sz w:val="24"/>
          <w:szCs w:val="24"/>
          <w:u w:val="single"/>
          <w:rtl/>
        </w:rPr>
        <w:t>ראשית ייאמר כי תעודות הלידה היו ברשות משרד הפנים עוד בשנת 1991.</w:t>
      </w:r>
      <w:r w:rsidRPr="006129EF">
        <w:rPr>
          <w:rFonts w:ascii="David" w:eastAsia="Calibri" w:hAnsi="David" w:cs="David"/>
          <w:sz w:val="24"/>
          <w:szCs w:val="24"/>
          <w:rtl/>
        </w:rPr>
        <w:t xml:space="preserve"> הגב' א</w:t>
      </w:r>
      <w:r>
        <w:rPr>
          <w:rFonts w:ascii="David" w:eastAsia="Calibri" w:hAnsi="David" w:cs="David" w:hint="cs"/>
          <w:sz w:val="24"/>
          <w:szCs w:val="24"/>
          <w:rtl/>
        </w:rPr>
        <w:t>' א'</w:t>
      </w:r>
      <w:r w:rsidRPr="006129EF">
        <w:rPr>
          <w:rFonts w:ascii="David" w:eastAsia="Calibri" w:hAnsi="David" w:cs="David"/>
          <w:sz w:val="24"/>
          <w:szCs w:val="24"/>
          <w:rtl/>
        </w:rPr>
        <w:t xml:space="preserve"> אישרה עובדה זו בדיון מיום 24.11.22 (החל מעמ' 2 בשורה 32 ועד עמ' 4 בשורה 10):</w:t>
      </w:r>
    </w:p>
    <w:p w:rsidR="002B3668" w:rsidRPr="006129EF" w:rsidRDefault="002B3668" w:rsidP="002B3668">
      <w:pPr>
        <w:pStyle w:val="a9"/>
        <w:spacing w:after="0" w:line="360" w:lineRule="auto"/>
        <w:ind w:left="567" w:hanging="284"/>
        <w:jc w:val="both"/>
        <w:rPr>
          <w:rFonts w:ascii="David" w:eastAsia="Calibri" w:hAnsi="David" w:cs="David"/>
          <w:b/>
          <w:bCs/>
          <w:sz w:val="24"/>
          <w:szCs w:val="24"/>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 xml:space="preserve">אני לא ראיתי בתצהיר שלך התייחסות לזה שתעודת לידה של </w:t>
      </w:r>
      <w:r>
        <w:rPr>
          <w:rFonts w:ascii="David" w:eastAsia="Calibri" w:hAnsi="David" w:cs="David" w:hint="cs"/>
          <w:b/>
          <w:bCs/>
          <w:sz w:val="24"/>
          <w:szCs w:val="24"/>
          <w:u w:val="single"/>
          <w:rtl/>
        </w:rPr>
        <w:t>פלונית</w:t>
      </w:r>
      <w:r w:rsidRPr="006129EF">
        <w:rPr>
          <w:rFonts w:ascii="David" w:eastAsia="Calibri" w:hAnsi="David" w:cs="David"/>
          <w:b/>
          <w:bCs/>
          <w:sz w:val="24"/>
          <w:szCs w:val="24"/>
          <w:u w:val="single"/>
          <w:rtl/>
        </w:rPr>
        <w:t xml:space="preserve"> הייתה אצלכם כבר בשנת 1991 איך זה יכול להיות</w:t>
      </w:r>
      <w:r w:rsidRPr="006129EF">
        <w:rPr>
          <w:rFonts w:ascii="David" w:eastAsia="Calibri" w:hAnsi="David" w:cs="David"/>
          <w:b/>
          <w:bCs/>
          <w:sz w:val="24"/>
          <w:szCs w:val="24"/>
          <w:rtl/>
        </w:rPr>
        <w:t xml:space="preserve"> ?</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אז מאיפה לקחנו את התעודות האלה (לא ברור)?</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אני לא יודע אז היא הייתה כבר אצלכם בשנת 1991</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יש את התעודות הלידה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הבנתי אז ,הם עלו ארצה הייתה תעודה שהיא רשומה שם בתור בת לרוסים ואם תעודה הזאת היא פנתה לבית הדין הרבני נכון?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אני לא ידעתי איזה תעודה היא פנתה לבית הדין הרבני, אני יכולה להגיד לך מה היה בבית הדין הרבני.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רגע שנייה</w:t>
      </w:r>
    </w:p>
    <w:p w:rsidR="002B3668" w:rsidRPr="006129EF" w:rsidRDefault="002B3668" w:rsidP="00F34460">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לפי הפרוטו</w:t>
      </w:r>
      <w:r w:rsidR="00F34460">
        <w:rPr>
          <w:rFonts w:ascii="David" w:eastAsia="Calibri" w:hAnsi="David" w:cs="David" w:hint="cs"/>
          <w:b/>
          <w:bCs/>
          <w:sz w:val="24"/>
          <w:szCs w:val="24"/>
          <w:rtl/>
        </w:rPr>
        <w:t>קו</w:t>
      </w:r>
      <w:r w:rsidRPr="006129EF">
        <w:rPr>
          <w:rFonts w:ascii="David" w:eastAsia="Calibri" w:hAnsi="David" w:cs="David"/>
          <w:b/>
          <w:bCs/>
          <w:sz w:val="24"/>
          <w:szCs w:val="24"/>
          <w:rtl/>
        </w:rPr>
        <w:t>ל</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את לא יכולה להגיד לי כי את לא היית שם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לא הייתי שם אבל לפי פרוטוקול יש לי את הפרוטוקול של בית הדין הרבני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זה בסדר פרוטוקול זה בסדר, אבל לפני הפרוטוקול עוד פעם הסיבה שהיא פנתה לבית הדין הרבני לטענתה הייתה בדיוק זאת כי במסמכים היה רשום ההורים שההורים שלה רוסים רוסים ולכן היא פנתה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איזה מסמכים? לאיזה מסמכים?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בתעודת לידה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תעודת ציבורית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היה כתוב שההורים שלה וככה היא עלתה ארצה עם המסמך הזה ועם המסמך הזה היא פנתה לבית הדין הרבני על מנת להוכיח שהיא אכן יהודיה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עו"ד בראל: מה השאלה לעדה אני לא מבינה?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רגע העניין הזה מופיע אצלכם בתוך התיק?</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עו"ד בראל: איזה, לא לא גברתי אני מתנגדת לסוג כזה של נאום שמכיל המון פרטים ובסוף העניין הזה, תשאל בבקשה את העדה מה העניין הזה על מה אתה שואל אותה אם מצוי בתיק</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ש: האם בתוך תיק של משרד הפנים קיימת סיבה או הסבר מדוע גברת </w:t>
      </w:r>
      <w:r>
        <w:rPr>
          <w:rFonts w:ascii="David" w:eastAsia="Calibri" w:hAnsi="David" w:cs="David" w:hint="cs"/>
          <w:b/>
          <w:bCs/>
          <w:sz w:val="24"/>
          <w:szCs w:val="24"/>
          <w:rtl/>
        </w:rPr>
        <w:t>פלונית</w:t>
      </w:r>
      <w:r w:rsidRPr="006129EF">
        <w:rPr>
          <w:rFonts w:ascii="David" w:eastAsia="Calibri" w:hAnsi="David" w:cs="David"/>
          <w:b/>
          <w:bCs/>
          <w:sz w:val="24"/>
          <w:szCs w:val="24"/>
          <w:rtl/>
        </w:rPr>
        <w:t xml:space="preserve"> פנתה לבית הדין הרבני בשנת 1991?</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ת: אני יכולה להגיד לך שבדרך כלל כשהולך חדש מגיע לישראל, הוא מגיע עם התיק עם כל החומר שהוא מקבל בנתב"ג ועם כל התעודות הציבוריות שיש ברשותו ואנחנו בונים לו תיק, </w:t>
      </w:r>
      <w:r w:rsidRPr="006129EF">
        <w:rPr>
          <w:rFonts w:ascii="David" w:eastAsia="Calibri" w:hAnsi="David" w:cs="David"/>
          <w:b/>
          <w:bCs/>
          <w:sz w:val="24"/>
          <w:szCs w:val="24"/>
          <w:u w:val="single"/>
          <w:rtl/>
        </w:rPr>
        <w:t xml:space="preserve">גברת </w:t>
      </w:r>
      <w:r>
        <w:rPr>
          <w:rFonts w:ascii="David" w:eastAsia="Calibri" w:hAnsi="David" w:cs="David" w:hint="cs"/>
          <w:b/>
          <w:bCs/>
          <w:sz w:val="24"/>
          <w:szCs w:val="24"/>
          <w:u w:val="single"/>
          <w:rtl/>
        </w:rPr>
        <w:t>פלונית</w:t>
      </w:r>
      <w:r w:rsidRPr="006129EF">
        <w:rPr>
          <w:rFonts w:ascii="David" w:eastAsia="Calibri" w:hAnsi="David" w:cs="David"/>
          <w:b/>
          <w:bCs/>
          <w:sz w:val="24"/>
          <w:szCs w:val="24"/>
          <w:u w:val="single"/>
          <w:rtl/>
        </w:rPr>
        <w:t xml:space="preserve"> לא הגיעה ישירות למשרד הפנים היא הגיעה קודם כל לבית הדין הרבני בשביל להביא החלטה שהיא יהודייה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לא הבנתי.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lastRenderedPageBreak/>
        <w:t>ת: לא הבנת?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אבל לא, בסדר או-קיי ואז זה הגיע אליכם למשרד הפנים.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ואז היא הגיעה למשרד</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עם תעודת לידה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עם</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והחלטה של בית הדין הרבני נכון?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הגיעה עם החלטה של בית הדין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ואת תעודת לידה</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ותעודת לידה, יש תעודת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יופי זאת אומרת שכבר ב-1991 אתם ראיתם את תעודת לידה ששם כתוב שהיא כביכול רוסיה ולעומת זאת פסק דין של בית הדין הרבני שאומר למרות שהיא יהודיה נכון</w:t>
      </w:r>
      <w:r w:rsidRPr="006129EF">
        <w:rPr>
          <w:rFonts w:ascii="David" w:eastAsia="Calibri" w:hAnsi="David" w:cs="David"/>
          <w:b/>
          <w:bCs/>
          <w:sz w:val="24"/>
          <w:szCs w:val="24"/>
          <w:rtl/>
        </w:rPr>
        <w:t xml:space="preserve"> ? לא כשאת עושה עם הראש</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לא, צריכה את צריכה לענות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זה לא עולה בהקלטה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או-קיי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אנחנו בהקלטה אז את צריכה להגיד כן או לא בבקשה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אוקיי, ראינו את התעודת לידה וקיבלנו את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את פסק הדין של בית</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הדין בית הדין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ממתי פסק הדין של בית הדין הרבני?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1991</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סמוך לעליה".</w:t>
      </w:r>
    </w:p>
    <w:p w:rsidR="002B3668" w:rsidRPr="006129EF" w:rsidRDefault="002B3668" w:rsidP="002B3668">
      <w:pPr>
        <w:pStyle w:val="a9"/>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ראו גם: סעיף 44 לסיכומי המבקשת.</w:t>
      </w:r>
    </w:p>
    <w:p w:rsidR="002B3668" w:rsidRPr="006129EF" w:rsidRDefault="002B3668" w:rsidP="002B3668">
      <w:pPr>
        <w:pStyle w:val="a9"/>
        <w:spacing w:after="0" w:line="360" w:lineRule="auto"/>
        <w:ind w:left="283"/>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tl/>
        </w:rPr>
      </w:pPr>
      <w:r w:rsidRPr="006129EF">
        <w:rPr>
          <w:rFonts w:ascii="David" w:eastAsia="Calibri" w:hAnsi="David" w:cs="David"/>
          <w:sz w:val="24"/>
          <w:szCs w:val="24"/>
          <w:u w:val="single"/>
          <w:rtl/>
        </w:rPr>
        <w:t>דהיינו, משנת 1991 ועד שנת 2001 לא בוצעה פנייה ל</w:t>
      </w:r>
      <w:r>
        <w:rPr>
          <w:rFonts w:ascii="David" w:eastAsia="Calibri" w:hAnsi="David" w:cs="David" w:hint="cs"/>
          <w:sz w:val="24"/>
          <w:szCs w:val="24"/>
          <w:u w:val="single"/>
          <w:rtl/>
        </w:rPr>
        <w:t>פלונית</w:t>
      </w:r>
      <w:r w:rsidRPr="006129EF">
        <w:rPr>
          <w:rFonts w:ascii="David" w:eastAsia="Calibri" w:hAnsi="David" w:cs="David"/>
          <w:sz w:val="24"/>
          <w:szCs w:val="24"/>
          <w:u w:val="single"/>
          <w:rtl/>
        </w:rPr>
        <w:t xml:space="preserve"> ובנותיה מטעם משרד הפנים כלל, </w:t>
      </w:r>
      <w:r w:rsidRPr="006129EF">
        <w:rPr>
          <w:rFonts w:ascii="David" w:eastAsia="Calibri" w:hAnsi="David" w:cs="David"/>
          <w:b/>
          <w:bCs/>
          <w:sz w:val="24"/>
          <w:szCs w:val="24"/>
          <w:u w:val="single"/>
          <w:rtl/>
        </w:rPr>
        <w:t>במשך עשור</w:t>
      </w:r>
      <w:r w:rsidRPr="006129EF">
        <w:rPr>
          <w:rFonts w:ascii="David" w:eastAsia="Calibri" w:hAnsi="David" w:cs="David"/>
          <w:sz w:val="24"/>
          <w:szCs w:val="24"/>
          <w:u w:val="single"/>
          <w:rtl/>
        </w:rPr>
        <w:t xml:space="preserve">. לא ניתן הסבר לכך כלל על ידי המבקשת. </w:t>
      </w:r>
    </w:p>
    <w:p w:rsidR="002B3668" w:rsidRPr="006129EF" w:rsidRDefault="002B3668" w:rsidP="002B3668">
      <w:pPr>
        <w:pStyle w:val="a9"/>
        <w:spacing w:after="0" w:line="360" w:lineRule="auto"/>
        <w:ind w:left="283"/>
        <w:jc w:val="both"/>
        <w:rPr>
          <w:rFonts w:ascii="David" w:eastAsia="Calibri" w:hAnsi="David" w:cs="David"/>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בהמשך, וכפי שנסקר לעיל, לאור נספח "3" לת/1 משרד הפנים </w:t>
      </w:r>
      <w:r w:rsidRPr="006129EF">
        <w:rPr>
          <w:rFonts w:ascii="David" w:eastAsia="Calibri" w:hAnsi="David" w:cs="David"/>
          <w:sz w:val="24"/>
          <w:szCs w:val="24"/>
          <w:u w:val="single"/>
          <w:rtl/>
        </w:rPr>
        <w:t>כבר בשנת 2001</w:t>
      </w:r>
      <w:r w:rsidRPr="006129EF">
        <w:rPr>
          <w:rFonts w:ascii="David" w:eastAsia="Calibri" w:hAnsi="David" w:cs="David"/>
          <w:sz w:val="24"/>
          <w:szCs w:val="24"/>
          <w:rtl/>
        </w:rPr>
        <w:t xml:space="preserve"> ידע על התנגדותן הנחרצת של</w:t>
      </w:r>
      <w:r>
        <w:rPr>
          <w:rFonts w:ascii="David" w:eastAsia="Calibri" w:hAnsi="David" w:cs="David" w:hint="cs"/>
          <w:sz w:val="24"/>
          <w:szCs w:val="24"/>
          <w:rtl/>
        </w:rPr>
        <w:t xml:space="preserve"> פלונית</w:t>
      </w:r>
      <w:r w:rsidRPr="006129EF">
        <w:rPr>
          <w:rFonts w:ascii="David" w:eastAsia="Calibri" w:hAnsi="David" w:cs="David"/>
          <w:sz w:val="24"/>
          <w:szCs w:val="24"/>
          <w:rtl/>
        </w:rPr>
        <w:t xml:space="preserve"> ובנותיה לשינוי הרישום, התנגדות שבאה לידי ביטוי הן בסירובה של</w:t>
      </w:r>
      <w:r>
        <w:rPr>
          <w:rFonts w:ascii="David" w:eastAsia="Calibri" w:hAnsi="David" w:cs="David" w:hint="cs"/>
          <w:sz w:val="24"/>
          <w:szCs w:val="24"/>
          <w:rtl/>
        </w:rPr>
        <w:t xml:space="preserve"> הבת הנוספת</w:t>
      </w:r>
      <w:r w:rsidRPr="006129EF">
        <w:rPr>
          <w:rFonts w:ascii="David" w:eastAsia="Calibri" w:hAnsi="David" w:cs="David"/>
          <w:sz w:val="24"/>
          <w:szCs w:val="24"/>
          <w:rtl/>
        </w:rPr>
        <w:t xml:space="preserve"> בכל תוקף לחתום על בקשה לתיקון פרטי דת ולאום (נספח "3" לת/1 בעמ' 22) והן במכתבה הנוקב של </w:t>
      </w:r>
      <w:r>
        <w:rPr>
          <w:rFonts w:ascii="David" w:eastAsia="Calibri" w:hAnsi="David" w:cs="David" w:hint="cs"/>
          <w:sz w:val="24"/>
          <w:szCs w:val="24"/>
          <w:rtl/>
        </w:rPr>
        <w:t>הבת הנוספת</w:t>
      </w:r>
      <w:r w:rsidRPr="006129EF">
        <w:rPr>
          <w:rFonts w:ascii="David" w:eastAsia="Calibri" w:hAnsi="David" w:cs="David"/>
          <w:sz w:val="24"/>
          <w:szCs w:val="24"/>
          <w:rtl/>
        </w:rPr>
        <w:t xml:space="preserve"> מיום 18.3.01 (נספח "3" לת/1 בעמ' 23-24). </w:t>
      </w:r>
      <w:r w:rsidRPr="006129EF">
        <w:rPr>
          <w:rFonts w:ascii="David" w:eastAsia="Calibri" w:hAnsi="David" w:cs="David"/>
          <w:sz w:val="24"/>
          <w:szCs w:val="24"/>
          <w:u w:val="single"/>
          <w:rtl/>
        </w:rPr>
        <w:t>ואולם, במשך 5 השנים שלאחר מכן (ועד לשנת 2006) לא נעשה דבר</w:t>
      </w:r>
      <w:r w:rsidRPr="006129EF">
        <w:rPr>
          <w:rFonts w:ascii="David" w:eastAsia="Calibri" w:hAnsi="David" w:cs="David"/>
          <w:sz w:val="24"/>
          <w:szCs w:val="24"/>
          <w:rtl/>
        </w:rPr>
        <w:t xml:space="preserve">. גם כאן, </w:t>
      </w:r>
      <w:r w:rsidRPr="006129EF">
        <w:rPr>
          <w:rFonts w:ascii="David" w:eastAsia="Calibri" w:hAnsi="David" w:cs="David"/>
          <w:b/>
          <w:bCs/>
          <w:sz w:val="24"/>
          <w:szCs w:val="24"/>
          <w:rtl/>
        </w:rPr>
        <w:t>לא ניתן הסבר לכך על ידי המבקשת</w:t>
      </w:r>
      <w:r w:rsidRPr="006129EF">
        <w:rPr>
          <w:rFonts w:ascii="David" w:eastAsia="Calibri" w:hAnsi="David" w:cs="David"/>
          <w:sz w:val="24"/>
          <w:szCs w:val="24"/>
          <w:rtl/>
        </w:rPr>
        <w:t>. ראו לעני</w:t>
      </w:r>
      <w:r>
        <w:rPr>
          <w:rFonts w:ascii="David" w:eastAsia="Calibri" w:hAnsi="David" w:cs="David" w:hint="cs"/>
          <w:sz w:val="24"/>
          <w:szCs w:val="24"/>
          <w:rtl/>
        </w:rPr>
        <w:t>י</w:t>
      </w:r>
      <w:r w:rsidRPr="006129EF">
        <w:rPr>
          <w:rFonts w:ascii="David" w:eastAsia="Calibri" w:hAnsi="David" w:cs="David"/>
          <w:sz w:val="24"/>
          <w:szCs w:val="24"/>
          <w:rtl/>
        </w:rPr>
        <w:t>ן זה דברי הגב' א</w:t>
      </w:r>
      <w:r>
        <w:rPr>
          <w:rFonts w:ascii="David" w:eastAsia="Calibri" w:hAnsi="David" w:cs="David" w:hint="cs"/>
          <w:sz w:val="24"/>
          <w:szCs w:val="24"/>
          <w:rtl/>
        </w:rPr>
        <w:t>' א'</w:t>
      </w:r>
      <w:r w:rsidRPr="006129EF">
        <w:rPr>
          <w:rFonts w:ascii="David" w:eastAsia="Calibri" w:hAnsi="David" w:cs="David"/>
          <w:sz w:val="24"/>
          <w:szCs w:val="24"/>
          <w:rtl/>
        </w:rPr>
        <w:t xml:space="preserve"> בדיון מיום 24.11.22 (החל מעמ' 9 בשורה 33 ועד עמ' 10 בשורה 33):</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Pr>
      </w:pPr>
      <w:r w:rsidRPr="006129EF">
        <w:rPr>
          <w:rFonts w:ascii="David" w:eastAsia="Calibri" w:hAnsi="David" w:cs="David"/>
          <w:b/>
          <w:bCs/>
          <w:sz w:val="24"/>
          <w:szCs w:val="24"/>
          <w:rtl/>
        </w:rPr>
        <w:lastRenderedPageBreak/>
        <w:t>"ש: סעיף 9, קצר מאוד 18.03 אגב מי שמתעניין זה יום הולדת שלי 18.3</w:t>
      </w:r>
      <w:r>
        <w:rPr>
          <w:rFonts w:ascii="David" w:eastAsia="Calibri" w:hAnsi="David" w:cs="David"/>
          <w:b/>
          <w:bCs/>
          <w:sz w:val="24"/>
          <w:szCs w:val="24"/>
          <w:rtl/>
        </w:rPr>
        <w:t xml:space="preserve">. 2001 יתקבל מענה מטעמה של </w:t>
      </w:r>
      <w:r>
        <w:rPr>
          <w:rFonts w:ascii="David" w:eastAsia="Calibri" w:hAnsi="David" w:cs="David" w:hint="cs"/>
          <w:b/>
          <w:bCs/>
          <w:sz w:val="24"/>
          <w:szCs w:val="24"/>
          <w:rtl/>
        </w:rPr>
        <w:t>הבת הנוספת</w:t>
      </w:r>
      <w:r w:rsidRPr="006129EF">
        <w:rPr>
          <w:rFonts w:ascii="David" w:eastAsia="Calibri" w:hAnsi="David" w:cs="David"/>
          <w:b/>
          <w:bCs/>
          <w:sz w:val="24"/>
          <w:szCs w:val="24"/>
          <w:rtl/>
        </w:rPr>
        <w:t>, סעיף 10, 03/12/2006 נשלחה פנייה אני רק שאלה ,</w:t>
      </w:r>
      <w:r w:rsidRPr="006129EF">
        <w:rPr>
          <w:rFonts w:ascii="David" w:eastAsia="Calibri" w:hAnsi="David" w:cs="David"/>
          <w:b/>
          <w:bCs/>
          <w:sz w:val="24"/>
          <w:szCs w:val="24"/>
          <w:u w:val="single"/>
          <w:rtl/>
        </w:rPr>
        <w:t>מה קרה בבקשה ב 6 שנים האלה מתחילת 2001- 2006 איפה היה התיק של המשיבים פיזית? מי היה אחראי עליו? שאלה עובדתית מי היה אחראי על התיק הזה במשך 6 שנים מ-2001 -2006?</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מה שקרה ב91 ניתנה החלטה של בית הדין הרבני אחר כך נ</w:t>
      </w:r>
      <w:r>
        <w:rPr>
          <w:rFonts w:ascii="David" w:eastAsia="Calibri" w:hAnsi="David" w:cs="David"/>
          <w:b/>
          <w:bCs/>
          <w:sz w:val="24"/>
          <w:szCs w:val="24"/>
          <w:rtl/>
        </w:rPr>
        <w:t xml:space="preserve">יתנה החלטה נוספת בעניינה של </w:t>
      </w:r>
      <w:r>
        <w:rPr>
          <w:rFonts w:ascii="David" w:eastAsia="Calibri" w:hAnsi="David" w:cs="David" w:hint="cs"/>
          <w:b/>
          <w:bCs/>
          <w:sz w:val="24"/>
          <w:szCs w:val="24"/>
          <w:rtl/>
        </w:rPr>
        <w:t>אלמונית</w:t>
      </w:r>
      <w:r w:rsidRPr="006129EF">
        <w:rPr>
          <w:rFonts w:ascii="David" w:eastAsia="Calibri" w:hAnsi="David" w:cs="David"/>
          <w:b/>
          <w:bCs/>
          <w:sz w:val="24"/>
          <w:szCs w:val="24"/>
          <w:rtl/>
        </w:rPr>
        <w:t xml:space="preserve"> שהוציאו שהיא רווקה והקשרה לנישואין חופה וקידושין אחר כך </w:t>
      </w:r>
      <w:r>
        <w:rPr>
          <w:rFonts w:ascii="David" w:eastAsia="Calibri" w:hAnsi="David" w:cs="David" w:hint="cs"/>
          <w:b/>
          <w:bCs/>
          <w:sz w:val="24"/>
          <w:szCs w:val="24"/>
          <w:rtl/>
        </w:rPr>
        <w:t>הבת הנוספת</w:t>
      </w:r>
      <w:r w:rsidRPr="006129EF">
        <w:rPr>
          <w:rFonts w:ascii="David" w:eastAsia="Calibri" w:hAnsi="David" w:cs="David"/>
          <w:b/>
          <w:bCs/>
          <w:sz w:val="24"/>
          <w:szCs w:val="24"/>
          <w:rtl/>
        </w:rPr>
        <w:t xml:space="preserve"> באה לרשום את הנישואים שלה וכנראה שפה בדקנו החומר ונודע לנו על-פי המסמכים הקיימים ברשותנו שההחלטה של בית הדין הרבני הוא סותר את המידע הקיים בידינו.</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תודה על התשובה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בבקשה</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ואת ועכשיו לשאלתי בחזרה ואני לא ארד מהשאלה </w:t>
      </w:r>
      <w:r w:rsidRPr="006129EF">
        <w:rPr>
          <w:rFonts w:ascii="David" w:eastAsia="Calibri" w:hAnsi="David" w:cs="David"/>
          <w:b/>
          <w:bCs/>
          <w:sz w:val="24"/>
          <w:szCs w:val="24"/>
          <w:u w:val="single"/>
          <w:rtl/>
        </w:rPr>
        <w:t xml:space="preserve">בבקשה לענות לי ב-2001,תחילת 2001 </w:t>
      </w:r>
      <w:r>
        <w:rPr>
          <w:rFonts w:ascii="David" w:eastAsia="Calibri" w:hAnsi="David" w:cs="David" w:hint="cs"/>
          <w:b/>
          <w:bCs/>
          <w:sz w:val="24"/>
          <w:szCs w:val="24"/>
          <w:u w:val="single"/>
          <w:rtl/>
        </w:rPr>
        <w:t>הבת הנוספת</w:t>
      </w:r>
      <w:r w:rsidRPr="006129EF">
        <w:rPr>
          <w:rFonts w:ascii="David" w:eastAsia="Calibri" w:hAnsi="David" w:cs="David"/>
          <w:b/>
          <w:bCs/>
          <w:sz w:val="24"/>
          <w:szCs w:val="24"/>
          <w:u w:val="single"/>
          <w:rtl/>
        </w:rPr>
        <w:t xml:space="preserve"> נתנה לכם מענה הפעולה הבאה הייתה בסוף 2006 כעבור 6 שנים ,איפה פיזית היה התיק הזה במשך 6 שנים מי היה אחראי עליו באותה תקופה?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במהלך כל השנים המשפחה התבקשה להגיע ולתקן את פרט הדת והלאום לפי סעיף 19 לחוק המרשם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אני עוד פעם שואל את השאלה אם את לא תקשיבי לשאלה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איפה היה התיק שלך?</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אני הקשבתי לשאלה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איפה היה התיק מי היה אחראי עליו במשרד הפנים מה השם שלה ?</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אם את לא יודעת כמה תאמרי זה גם בסדר אבל אבל</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מי שטיפלה בזה זאת נ</w:t>
      </w:r>
      <w:r>
        <w:rPr>
          <w:rFonts w:ascii="David" w:eastAsia="Calibri" w:hAnsi="David" w:cs="David" w:hint="cs"/>
          <w:b/>
          <w:bCs/>
          <w:sz w:val="24"/>
          <w:szCs w:val="24"/>
          <w:rtl/>
        </w:rPr>
        <w:t xml:space="preserve">' </w:t>
      </w:r>
      <w:r w:rsidRPr="006129EF">
        <w:rPr>
          <w:rFonts w:ascii="David" w:eastAsia="Calibri" w:hAnsi="David" w:cs="David"/>
          <w:b/>
          <w:bCs/>
          <w:sz w:val="24"/>
          <w:szCs w:val="24"/>
          <w:rtl/>
        </w:rPr>
        <w:t>ר</w:t>
      </w:r>
      <w:r>
        <w:rPr>
          <w:rFonts w:ascii="David" w:eastAsia="Calibri" w:hAnsi="David" w:cs="David" w:hint="cs"/>
          <w:b/>
          <w:bCs/>
          <w:sz w:val="24"/>
          <w:szCs w:val="24"/>
          <w:rtl/>
        </w:rPr>
        <w:t>'</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מי זאת נ</w:t>
      </w:r>
      <w:r>
        <w:rPr>
          <w:rFonts w:ascii="David" w:eastAsia="Calibri" w:hAnsi="David" w:cs="David" w:hint="cs"/>
          <w:b/>
          <w:bCs/>
          <w:sz w:val="24"/>
          <w:szCs w:val="24"/>
          <w:rtl/>
        </w:rPr>
        <w:t>'</w:t>
      </w:r>
      <w:r w:rsidRPr="006129EF">
        <w:rPr>
          <w:rFonts w:ascii="David" w:eastAsia="Calibri" w:hAnsi="David" w:cs="David"/>
          <w:b/>
          <w:bCs/>
          <w:sz w:val="24"/>
          <w:szCs w:val="24"/>
          <w:rtl/>
        </w:rPr>
        <w:t xml:space="preserve"> ר</w:t>
      </w:r>
      <w:r>
        <w:rPr>
          <w:rFonts w:ascii="David" w:eastAsia="Calibri" w:hAnsi="David" w:cs="David" w:hint="cs"/>
          <w:b/>
          <w:bCs/>
          <w:sz w:val="24"/>
          <w:szCs w:val="24"/>
          <w:rtl/>
        </w:rPr>
        <w:t>'</w:t>
      </w:r>
      <w:r w:rsidRPr="006129EF">
        <w:rPr>
          <w:rFonts w:ascii="David" w:eastAsia="Calibri" w:hAnsi="David" w:cs="David"/>
          <w:b/>
          <w:bCs/>
          <w:sz w:val="24"/>
          <w:szCs w:val="24"/>
          <w:rtl/>
        </w:rPr>
        <w:t>?</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היא הייתה ראש צוות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ואיפה היא עכשיו?</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היא פרשה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פרשה ומה היא עשתה מ-2001 עד 2006 מה מופיע לך בתיק?</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היו הרבה תכתובות עם המשפחה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מה בבקשה בואי רוצה לראות תכתובת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היו הרבה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6 שנים אני מאמין שכן היה המון חומר</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אז אמרתי לך</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לא לא אמרת לי, </w:t>
      </w:r>
      <w:r w:rsidRPr="006129EF">
        <w:rPr>
          <w:rFonts w:ascii="David" w:eastAsia="Calibri" w:hAnsi="David" w:cs="David"/>
          <w:b/>
          <w:bCs/>
          <w:sz w:val="24"/>
          <w:szCs w:val="24"/>
          <w:u w:val="single"/>
          <w:rtl/>
        </w:rPr>
        <w:t>אני עוד פעם שואל מה נעשה מ -2001 עד 2006 בתקופה זאת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ב-2001 ביקשה </w:t>
      </w:r>
      <w:r>
        <w:rPr>
          <w:rFonts w:ascii="David" w:eastAsia="Calibri" w:hAnsi="David" w:cs="David" w:hint="cs"/>
          <w:b/>
          <w:bCs/>
          <w:sz w:val="24"/>
          <w:szCs w:val="24"/>
          <w:rtl/>
        </w:rPr>
        <w:t>הבת הנוספת</w:t>
      </w:r>
      <w:r w:rsidRPr="006129EF">
        <w:rPr>
          <w:rFonts w:ascii="David" w:eastAsia="Calibri" w:hAnsi="David" w:cs="David"/>
          <w:b/>
          <w:bCs/>
          <w:sz w:val="24"/>
          <w:szCs w:val="24"/>
          <w:rtl/>
        </w:rPr>
        <w:t xml:space="preserve"> לרשום את הנישואים שלה</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זה הבנתי מה קרה אחר כך?</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זה הבנת</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lastRenderedPageBreak/>
        <w:t xml:space="preserve">ש: </w:t>
      </w:r>
      <w:r w:rsidRPr="006129EF">
        <w:rPr>
          <w:rFonts w:ascii="David" w:eastAsia="Calibri" w:hAnsi="David" w:cs="David"/>
          <w:b/>
          <w:bCs/>
          <w:sz w:val="24"/>
          <w:szCs w:val="24"/>
          <w:u w:val="single"/>
          <w:rtl/>
        </w:rPr>
        <w:t xml:space="preserve">מ2011 </w:t>
      </w:r>
      <w:r w:rsidRPr="006129EF">
        <w:rPr>
          <w:rFonts w:ascii="David" w:eastAsia="Calibri" w:hAnsi="David" w:cs="David"/>
          <w:sz w:val="24"/>
          <w:szCs w:val="24"/>
          <w:rtl/>
        </w:rPr>
        <w:t>(טעות סופר- הכוונה משנת 2001- ש.ב.)</w:t>
      </w:r>
      <w:r w:rsidRPr="006129EF">
        <w:rPr>
          <w:rFonts w:ascii="David" w:eastAsia="Calibri" w:hAnsi="David" w:cs="David"/>
          <w:b/>
          <w:bCs/>
          <w:sz w:val="24"/>
          <w:szCs w:val="24"/>
          <w:u w:val="single"/>
          <w:rtl/>
        </w:rPr>
        <w:t xml:space="preserve"> עד 2006</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אין לי תשובה על-כך</w:t>
      </w:r>
      <w:r w:rsidRPr="006129EF">
        <w:rPr>
          <w:rFonts w:ascii="David" w:eastAsia="Calibri" w:hAnsi="David" w:cs="David"/>
          <w:b/>
          <w:bCs/>
          <w:sz w:val="24"/>
          <w:szCs w:val="24"/>
          <w:rtl/>
        </w:rPr>
        <w:t>".</w:t>
      </w:r>
    </w:p>
    <w:p w:rsidR="002B3668" w:rsidRPr="006129EF" w:rsidRDefault="002B3668" w:rsidP="002B3668">
      <w:pPr>
        <w:pStyle w:val="a9"/>
        <w:spacing w:after="0" w:line="360" w:lineRule="auto"/>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גם בשנת 2006, נותרה התנגדותן של </w:t>
      </w:r>
      <w:r>
        <w:rPr>
          <w:rFonts w:ascii="David" w:eastAsia="Calibri" w:hAnsi="David" w:cs="David" w:hint="cs"/>
          <w:sz w:val="24"/>
          <w:szCs w:val="24"/>
          <w:rtl/>
        </w:rPr>
        <w:t>פלונית</w:t>
      </w:r>
      <w:r w:rsidRPr="006129EF">
        <w:rPr>
          <w:rFonts w:ascii="David" w:eastAsia="Calibri" w:hAnsi="David" w:cs="David"/>
          <w:sz w:val="24"/>
          <w:szCs w:val="24"/>
          <w:rtl/>
        </w:rPr>
        <w:t xml:space="preserve"> ובנותיה בעינה. כמפורט לעיל, ביום 25.12.06 שלחו </w:t>
      </w:r>
      <w:r>
        <w:rPr>
          <w:rFonts w:ascii="David" w:eastAsia="Calibri" w:hAnsi="David" w:cs="David" w:hint="cs"/>
          <w:sz w:val="24"/>
          <w:szCs w:val="24"/>
          <w:rtl/>
        </w:rPr>
        <w:t>פלונית ואלמונית</w:t>
      </w:r>
      <w:r w:rsidRPr="006129EF">
        <w:rPr>
          <w:rFonts w:ascii="David" w:eastAsia="Calibri" w:hAnsi="David" w:cs="David"/>
          <w:sz w:val="24"/>
          <w:szCs w:val="24"/>
          <w:rtl/>
        </w:rPr>
        <w:t xml:space="preserve"> מכתב למשרד הפנים במסגרתו שוב הובהרה התנגדותן באופן שאינו משתמע לשתי פנים (נספח "3" לת/1 בעמ' 21). לאחר מכן, </w:t>
      </w:r>
      <w:r w:rsidRPr="006129EF">
        <w:rPr>
          <w:rFonts w:ascii="David" w:eastAsia="Calibri" w:hAnsi="David" w:cs="David"/>
          <w:b/>
          <w:bCs/>
          <w:sz w:val="24"/>
          <w:szCs w:val="24"/>
          <w:u w:val="single"/>
          <w:rtl/>
        </w:rPr>
        <w:t>במשך עשור נוסף לא נעשה דבר על ידי המבקשת</w:t>
      </w:r>
      <w:r w:rsidRPr="006129EF">
        <w:rPr>
          <w:rFonts w:ascii="David" w:eastAsia="Calibri" w:hAnsi="David" w:cs="David"/>
          <w:sz w:val="24"/>
          <w:szCs w:val="24"/>
          <w:rtl/>
        </w:rPr>
        <w:t>, כאשר רק בשנת 2016 נעשתה פנייה יזומה למזכיר ביה"ד הרבני, פנייה אשר יוער לגביה כי בסעיף 14 לפסק דינה של כב' השופטת עינת אבמן-מולר מיום 9.12.20 בעת"מ 45819-06-19 (נספח "8 לת/1 בעמ' 95-99) הטילה כב' השופטת עינת אבמן-מולר ספק בסמכות פקיד הרישום לפנות לביה"ד הרבני, באומרה את הדברים הבאים:</w:t>
      </w:r>
    </w:p>
    <w:p w:rsidR="002B3668" w:rsidRPr="006129EF" w:rsidRDefault="002B3668" w:rsidP="002B3668">
      <w:pPr>
        <w:pStyle w:val="a9"/>
        <w:spacing w:after="0" w:line="360" w:lineRule="auto"/>
        <w:ind w:left="283"/>
        <w:jc w:val="both"/>
        <w:rPr>
          <w:rFonts w:ascii="David" w:eastAsia="Calibri" w:hAnsi="David" w:cs="David"/>
          <w:sz w:val="24"/>
          <w:szCs w:val="24"/>
        </w:rPr>
      </w:pPr>
      <w:r w:rsidRPr="006129EF">
        <w:rPr>
          <w:rFonts w:ascii="David" w:eastAsia="Calibri" w:hAnsi="David" w:cs="David"/>
          <w:noProof/>
          <w:sz w:val="24"/>
          <w:szCs w:val="24"/>
        </w:rPr>
        <w:drawing>
          <wp:inline distT="0" distB="0" distL="0" distR="0" wp14:anchorId="116C3B92" wp14:editId="0035F894">
            <wp:extent cx="5229225" cy="3562350"/>
            <wp:effectExtent l="0" t="0" r="9525" b="0"/>
            <wp:docPr id="49" name="תמונה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225" cy="3562350"/>
                    </a:xfrm>
                    <a:prstGeom prst="rect">
                      <a:avLst/>
                    </a:prstGeom>
                    <a:noFill/>
                    <a:ln>
                      <a:noFill/>
                    </a:ln>
                  </pic:spPr>
                </pic:pic>
              </a:graphicData>
            </a:graphic>
          </wp:inline>
        </w:drawing>
      </w:r>
    </w:p>
    <w:p w:rsidR="002B3668" w:rsidRPr="006129EF" w:rsidRDefault="002B3668" w:rsidP="002B3668">
      <w:pPr>
        <w:pStyle w:val="a9"/>
        <w:spacing w:after="0" w:line="360" w:lineRule="auto"/>
        <w:ind w:left="283"/>
        <w:jc w:val="both"/>
        <w:rPr>
          <w:rFonts w:ascii="David" w:eastAsia="Calibri" w:hAnsi="David" w:cs="David"/>
          <w:sz w:val="24"/>
          <w:szCs w:val="24"/>
        </w:rPr>
      </w:pPr>
      <w:r w:rsidRPr="006129EF">
        <w:rPr>
          <w:rFonts w:ascii="David" w:eastAsia="Calibri" w:hAnsi="David" w:cs="David"/>
          <w:noProof/>
          <w:sz w:val="24"/>
          <w:szCs w:val="24"/>
        </w:rPr>
        <w:drawing>
          <wp:inline distT="0" distB="0" distL="0" distR="0" wp14:anchorId="318E0382" wp14:editId="30295F7B">
            <wp:extent cx="5229225" cy="990600"/>
            <wp:effectExtent l="0" t="0" r="9525" b="0"/>
            <wp:docPr id="50" name="תמונה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225" cy="990600"/>
                    </a:xfrm>
                    <a:prstGeom prst="rect">
                      <a:avLst/>
                    </a:prstGeom>
                    <a:noFill/>
                    <a:ln>
                      <a:noFill/>
                    </a:ln>
                  </pic:spPr>
                </pic:pic>
              </a:graphicData>
            </a:graphic>
          </wp:inline>
        </w:drawing>
      </w:r>
    </w:p>
    <w:p w:rsidR="002B3668" w:rsidRPr="006129EF" w:rsidRDefault="002B3668" w:rsidP="002B3668">
      <w:pPr>
        <w:spacing w:line="360" w:lineRule="auto"/>
        <w:ind w:left="283"/>
        <w:jc w:val="both"/>
        <w:rPr>
          <w:rFonts w:ascii="David" w:eastAsia="Calibri" w:hAnsi="David"/>
          <w:u w:val="single"/>
        </w:rPr>
      </w:pPr>
      <w:r>
        <w:rPr>
          <w:rFonts w:ascii="David" w:eastAsia="Calibri" w:hAnsi="David"/>
          <w:u w:val="single"/>
          <w:rtl/>
        </w:rPr>
        <w:t xml:space="preserve">עוד יוער כי אין חולק </w:t>
      </w:r>
      <w:r>
        <w:rPr>
          <w:rFonts w:ascii="David" w:eastAsia="Calibri" w:hAnsi="David" w:hint="cs"/>
          <w:u w:val="single"/>
          <w:rtl/>
        </w:rPr>
        <w:t>ש</w:t>
      </w:r>
      <w:r w:rsidRPr="006129EF">
        <w:rPr>
          <w:rFonts w:ascii="David" w:eastAsia="Calibri" w:hAnsi="David"/>
          <w:u w:val="single"/>
          <w:rtl/>
        </w:rPr>
        <w:t xml:space="preserve">מדובר במסקנה אליה הגיע בית המשפט לעניינים מנהליים במסגרת פסק דינו שניתן בעניינם של </w:t>
      </w:r>
      <w:r>
        <w:rPr>
          <w:rFonts w:ascii="David" w:eastAsia="Calibri" w:hAnsi="David" w:hint="cs"/>
          <w:u w:val="single"/>
          <w:rtl/>
        </w:rPr>
        <w:t xml:space="preserve">אלמונית ובנה </w:t>
      </w:r>
      <w:r>
        <w:rPr>
          <w:rFonts w:ascii="David" w:eastAsia="Calibri" w:hAnsi="David" w:hint="cs"/>
          <w:u w:val="single"/>
        </w:rPr>
        <w:t>XXX</w:t>
      </w:r>
      <w:r w:rsidRPr="006129EF">
        <w:rPr>
          <w:rFonts w:ascii="David" w:eastAsia="Calibri" w:hAnsi="David"/>
          <w:u w:val="single"/>
          <w:rtl/>
        </w:rPr>
        <w:t xml:space="preserve">, קביעה חלוטה שכן לא הוגש הליך ערעורי על פסק הדין. </w:t>
      </w:r>
    </w:p>
    <w:p w:rsidR="002B3668" w:rsidRPr="006129EF" w:rsidRDefault="002B3668" w:rsidP="002B3668">
      <w:pPr>
        <w:pStyle w:val="a9"/>
        <w:spacing w:after="0" w:line="360" w:lineRule="auto"/>
        <w:jc w:val="both"/>
        <w:rPr>
          <w:rFonts w:ascii="David" w:eastAsia="Calibri"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lastRenderedPageBreak/>
        <w:t xml:space="preserve">ראוי לציין כי המבקשת לא פנתה לבית המשפט בשנת 2007, כפי שנכתב במכתב מטעם ממונה המרשם מיום 21.12.06 (נספח "3" לת/1, בעמ' 19-20). גם כאן, </w:t>
      </w:r>
      <w:r w:rsidRPr="006129EF">
        <w:rPr>
          <w:rFonts w:ascii="David" w:eastAsia="Calibri" w:hAnsi="David" w:cs="David"/>
          <w:b/>
          <w:bCs/>
          <w:sz w:val="24"/>
          <w:szCs w:val="24"/>
          <w:rtl/>
        </w:rPr>
        <w:t>לא ניתן הסבר לכך על ידי המבקשת</w:t>
      </w:r>
      <w:r w:rsidRPr="006129EF">
        <w:rPr>
          <w:rFonts w:ascii="David" w:eastAsia="Calibri" w:hAnsi="David" w:cs="David"/>
          <w:sz w:val="24"/>
          <w:szCs w:val="24"/>
          <w:rtl/>
        </w:rPr>
        <w:t>. ראו דברי הגב' א</w:t>
      </w:r>
      <w:r>
        <w:rPr>
          <w:rFonts w:ascii="David" w:eastAsia="Calibri" w:hAnsi="David" w:cs="David" w:hint="cs"/>
          <w:sz w:val="24"/>
          <w:szCs w:val="24"/>
          <w:rtl/>
        </w:rPr>
        <w:t>' א'</w:t>
      </w:r>
      <w:r w:rsidRPr="006129EF">
        <w:rPr>
          <w:rFonts w:ascii="David" w:eastAsia="Calibri" w:hAnsi="David" w:cs="David"/>
          <w:sz w:val="24"/>
          <w:szCs w:val="24"/>
          <w:rtl/>
        </w:rPr>
        <w:t xml:space="preserve"> בדיון מיום 24.11.22 (החל מעמ' 10 בשורה 34 ועד עמ' 13 בשורה 1):</w:t>
      </w:r>
    </w:p>
    <w:p w:rsidR="002B3668" w:rsidRPr="006129EF" w:rsidRDefault="002B3668" w:rsidP="002B3668">
      <w:pPr>
        <w:pStyle w:val="a9"/>
        <w:spacing w:after="0" w:line="360" w:lineRule="auto"/>
        <w:ind w:left="567" w:hanging="284"/>
        <w:jc w:val="both"/>
        <w:rPr>
          <w:rFonts w:ascii="David" w:eastAsia="Calibri" w:hAnsi="David" w:cs="David"/>
          <w:b/>
          <w:bCs/>
          <w:sz w:val="24"/>
          <w:szCs w:val="24"/>
        </w:rPr>
      </w:pPr>
      <w:r w:rsidRPr="006129EF">
        <w:rPr>
          <w:rFonts w:ascii="David" w:eastAsia="Calibri" w:hAnsi="David" w:cs="David"/>
          <w:b/>
          <w:bCs/>
          <w:sz w:val="24"/>
          <w:szCs w:val="24"/>
          <w:rtl/>
        </w:rPr>
        <w:t xml:space="preserve">"ש: אין לך תשובה יופי כי אני אגיד לך מה היה, לא היה כלום, </w:t>
      </w:r>
      <w:r w:rsidRPr="006129EF">
        <w:rPr>
          <w:rFonts w:ascii="David" w:eastAsia="Calibri" w:hAnsi="David" w:cs="David"/>
          <w:b/>
          <w:bCs/>
          <w:sz w:val="24"/>
          <w:szCs w:val="24"/>
          <w:u w:val="single"/>
          <w:rtl/>
        </w:rPr>
        <w:t>עכשיו אני רוצה בבקשה להפנות אותך בתצהיר למכתב שנשלח למשפחה בשנת 2006 ושם הם נדרשים להגיע למשרד הפנים על מנת בהסכמה לתקן את סעיף הדת והלאום ונאמר שאם הם לא יתייצבו עד לינואר 2007 אזי תהיה פניה לבית המשפט את יודעת על מה אני מדבר</w:t>
      </w:r>
      <w:r w:rsidRPr="006129EF">
        <w:rPr>
          <w:rFonts w:ascii="David" w:eastAsia="Calibri" w:hAnsi="David" w:cs="David"/>
          <w:b/>
          <w:bCs/>
          <w:sz w:val="24"/>
          <w:szCs w:val="24"/>
          <w:rtl/>
        </w:rPr>
        <w:t>?</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תכוון אותי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רגע רגע שנייה הנה בבקשה אני מדבר על עמוד 19 לתצהיר שלך</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לתצהיר שלה או-קיי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לתצהיר שלך מכתב מיום 21/12/2006 את רואה אותו בבקשה?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לא איזה עמוד ?</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19</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19 לתצהיר של הגברת?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זה לא שלי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לא של</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עו"ד בראל: המכתב לא שלך, התצהיר שלך כן שלך</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אה התצהיר אבל אתה מדבר על המכתב</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עו"ד בראל: היא חשבה שהמכתב</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על המכתב כן כן אני פה כן כן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תסתכלי בבקשה, כתוב פה ,בעמוד הבא עמוד 20 היה ולטעון ולא תתקבל הסכמתך או התנגדותך המנומקת לתיקון עד ליום 29/01/2007 משרד הפנים יפנה לבית המשפט לענייני משפחה בבקשה לפסק דין הצהרתי לתיקון הרישום גברת א</w:t>
      </w:r>
      <w:r>
        <w:rPr>
          <w:rFonts w:ascii="David" w:eastAsia="Calibri" w:hAnsi="David" w:cs="David" w:hint="cs"/>
          <w:b/>
          <w:bCs/>
          <w:sz w:val="24"/>
          <w:szCs w:val="24"/>
          <w:u w:val="single"/>
          <w:rtl/>
        </w:rPr>
        <w:t>'</w:t>
      </w:r>
      <w:r w:rsidRPr="006129EF">
        <w:rPr>
          <w:rFonts w:ascii="David" w:eastAsia="Calibri" w:hAnsi="David" w:cs="David"/>
          <w:b/>
          <w:bCs/>
          <w:sz w:val="24"/>
          <w:szCs w:val="24"/>
          <w:u w:val="single"/>
          <w:rtl/>
        </w:rPr>
        <w:t xml:space="preserve"> ש</w:t>
      </w:r>
      <w:r>
        <w:rPr>
          <w:rFonts w:ascii="David" w:eastAsia="Calibri" w:hAnsi="David" w:cs="David" w:hint="cs"/>
          <w:b/>
          <w:bCs/>
          <w:sz w:val="24"/>
          <w:szCs w:val="24"/>
          <w:u w:val="single"/>
          <w:rtl/>
        </w:rPr>
        <w:t>'</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נכון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מכירה את גברת א</w:t>
      </w:r>
      <w:r>
        <w:rPr>
          <w:rFonts w:ascii="David" w:eastAsia="Calibri" w:hAnsi="David" w:cs="David" w:hint="cs"/>
          <w:b/>
          <w:bCs/>
          <w:sz w:val="24"/>
          <w:szCs w:val="24"/>
          <w:rtl/>
        </w:rPr>
        <w:t>'</w:t>
      </w:r>
      <w:r w:rsidRPr="006129EF">
        <w:rPr>
          <w:rFonts w:ascii="David" w:eastAsia="Calibri" w:hAnsi="David" w:cs="David"/>
          <w:b/>
          <w:bCs/>
          <w:sz w:val="24"/>
          <w:szCs w:val="24"/>
          <w:rtl/>
        </w:rPr>
        <w:t xml:space="preserve"> ש</w:t>
      </w:r>
      <w:r>
        <w:rPr>
          <w:rFonts w:ascii="David" w:eastAsia="Calibri" w:hAnsi="David" w:cs="David" w:hint="cs"/>
          <w:b/>
          <w:bCs/>
          <w:sz w:val="24"/>
          <w:szCs w:val="24"/>
          <w:rtl/>
        </w:rPr>
        <w:t>'</w:t>
      </w:r>
      <w:r w:rsidRPr="006129EF">
        <w:rPr>
          <w:rFonts w:ascii="David" w:eastAsia="Calibri" w:hAnsi="David" w:cs="David"/>
          <w:b/>
          <w:bCs/>
          <w:sz w:val="24"/>
          <w:szCs w:val="24"/>
          <w:rtl/>
        </w:rPr>
        <w:t>?</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היא יצאה לפנסיה מזמן</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גם יצאה לפנסיה הבנתי, </w:t>
      </w:r>
      <w:r w:rsidRPr="006129EF">
        <w:rPr>
          <w:rFonts w:ascii="David" w:eastAsia="Calibri" w:hAnsi="David" w:cs="David"/>
          <w:b/>
          <w:bCs/>
          <w:sz w:val="24"/>
          <w:szCs w:val="24"/>
          <w:u w:val="single"/>
          <w:rtl/>
        </w:rPr>
        <w:t>תגידי בבקשה אחרי שלא קרה שום דבר עד ל-29/01/2007 ואף אחד לא הסכים לתקן את עניין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זה לא שלא הסכים לתקן</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רגע, הם הם ממש משפחה לא הסכימה אמרו לכם לא אתם לא צודקים לא מסכימים לא ניתן לכם ואתם יודעים מה לעשות ב-2006 אתם כותבים לא תעשו לפני בית המשפט לענייני משפחה.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נכון נכון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lastRenderedPageBreak/>
        <w:t>ש: את יודעת מתי פניתם או עשיתם או משהו פעם הבאה אני מפנה אותך לסעיף 15 לתצהיר שלך האזכור הבא הוא שנת 2016 מכאן השאלה שלי גברתי ,מדוע אם כתוב במכתב שאתם תפנו בשנת 2007 לבית משפט לענייני משפחה אותה פניה לא נעשתה מה ההסבר שלך ?</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קודם כל ב-2016</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לא לא גברת ,2007 מדוע לא פניתם אתם משרד הפנים מדוע לא פניתם ב-2007 לבית המשפט לענייני משפחה כפי שהבטחת זאת הבטחה מנהלית שלטונית הבטחתם לפנות למה לא פניתם?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ראשית כל פנינו כמה פעמים למשפחה</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לבית משפט לענייני משפחה בבקשה לענות אך ורק על השאלה שלי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שניה תן לה להשיב אבל עו"ד גלידר תן לה להשיב</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אבל למה אני שואל</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תן לה להשיב תן לה להשיב את הבנת את השאלה שאלו אותך למה לא פניתם לבית משפט לענייני משפחה?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יישר לא פנינו כי לפי סעיף 19 היא יכולה לבוא לחתום על פרט הדעת לתיקון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היא לא רצתה</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היות והיא לא מסכימה ואז הלכנו להליך משפטי כי רק ככה אפשר לתקן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כן מתי הלכתם להליך משפטי?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את הפרט הלא נכון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תפסיקי בבקשה לשבש את התשובות אני מבקש תשובות לשאלות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אני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עו"ד גלידר</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אני מבקש</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עו"ד גלידר</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אני לא משבשת תשובות</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עו"ד בראל: לא מכוון</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עו"ד גלידר ,תנהג בכבוד בגברת לא אז תנהג מכבוד</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אני בוודאי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עו"ד בראל: זה תיק משפטי זה אפילו לא עוזר</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אני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אני עוד פעם שואל אותך</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תקשיב אני נותנת לך את החומר עובדתית כפי שהוא קיים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לא, הכל לא בשבילה לא פה לא בשביל לא , את פה גם את נציגת משרד הפנים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אתה מנסה לשמר את התשובות שלי אני מאוד מצטערת להגיד לך עם כל הכבוד</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כבוד השופטת: תפסיקו להתווכח ביניכם עו"ד גלידר</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אבל גברתי גברתי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lastRenderedPageBreak/>
        <w:t>כבוד השופטת: גלידר, שאלה</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tl/>
        </w:rPr>
      </w:pPr>
      <w:r w:rsidRPr="006129EF">
        <w:rPr>
          <w:rFonts w:ascii="David" w:eastAsia="Calibri" w:hAnsi="David" w:cs="David"/>
          <w:b/>
          <w:bCs/>
          <w:sz w:val="24"/>
          <w:szCs w:val="24"/>
          <w:rtl/>
        </w:rPr>
        <w:t xml:space="preserve">ש: שאלה, </w:t>
      </w:r>
      <w:r w:rsidRPr="006129EF">
        <w:rPr>
          <w:rFonts w:ascii="David" w:eastAsia="Calibri" w:hAnsi="David" w:cs="David"/>
          <w:b/>
          <w:bCs/>
          <w:sz w:val="24"/>
          <w:szCs w:val="24"/>
          <w:u w:val="single"/>
          <w:rtl/>
        </w:rPr>
        <w:t>מדוע מה הייתה הסיבה לאי-קיום הבטחתכם במבטא במכתבי לאי פניה לבית המשפט לענייני משפחה בשנת 2007 ,מה הייתה הסיבה שבשנת 2007 לא פניתם כפי שהבטחתם?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כי נותנים למשפחה,את הזמן הזה שאולי הם הצליחו להשיג מסמכים ויויכחו את היהודות שלהם</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ש: תסלחי לי זאת לא האמת ,עוד פעם את רוצה בואי נקרא ביחד את המכתב</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ת: אז אל תכניס דברים לפה שלי</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עוד פעם בבקשה נפתח עמוד 20 אני קורא ,היה ולא תתקבל הסכמתך או התנגדותך המנומקת לתיקון עד ליום 29/01/2007 משרד הפנים יפנה לבית המשפט לענייני משפחה בבקשה לפסק דין הצהרתי לתיקון הרישום אני שואל בבקשה, המועד הקובע שאתם קבעתם 29 לינואר 2007 חלף לא הסכים לשום תיקון אלה עובדות מוסכמות שאלה, בבקשה תשובה ישירה מדוע בשנת 2007 משרד הפנים לא פנה לבית המשפט לענייני משפחה</w:t>
      </w:r>
      <w:r w:rsidRPr="006129EF">
        <w:rPr>
          <w:rFonts w:ascii="David" w:eastAsia="Calibri" w:hAnsi="David" w:cs="David"/>
          <w:b/>
          <w:bCs/>
          <w:sz w:val="24"/>
          <w:szCs w:val="24"/>
          <w:rtl/>
        </w:rPr>
        <w:t>?</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אין לי תשובה להגיד לך על זה</w:t>
      </w:r>
      <w:r w:rsidRPr="006129EF">
        <w:rPr>
          <w:rFonts w:ascii="David" w:eastAsia="Calibri" w:hAnsi="David" w:cs="David"/>
          <w:b/>
          <w:bCs/>
          <w:sz w:val="24"/>
          <w:szCs w:val="24"/>
          <w:rtl/>
        </w:rPr>
        <w:t>".</w:t>
      </w:r>
    </w:p>
    <w:p w:rsidR="002B3668" w:rsidRPr="006129EF" w:rsidRDefault="002B3668" w:rsidP="002B3668">
      <w:pPr>
        <w:pStyle w:val="a9"/>
        <w:spacing w:after="0" w:line="360" w:lineRule="auto"/>
        <w:ind w:left="368"/>
        <w:jc w:val="both"/>
        <w:rPr>
          <w:rFonts w:ascii="David" w:eastAsia="Calibri" w:hAnsi="David" w:cs="David"/>
          <w:b/>
          <w:bCs/>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כנסקר לעיל, </w:t>
      </w:r>
      <w:r w:rsidRPr="006129EF">
        <w:rPr>
          <w:rFonts w:ascii="David" w:eastAsia="Calibri" w:hAnsi="David" w:cs="David"/>
          <w:b/>
          <w:bCs/>
          <w:sz w:val="24"/>
          <w:szCs w:val="24"/>
          <w:u w:val="single"/>
          <w:rtl/>
        </w:rPr>
        <w:t xml:space="preserve">רק ביום </w:t>
      </w:r>
      <w:r w:rsidRPr="006129EF">
        <w:rPr>
          <w:rFonts w:ascii="David" w:hAnsi="David" w:cs="David"/>
          <w:b/>
          <w:bCs/>
          <w:sz w:val="24"/>
          <w:szCs w:val="24"/>
          <w:u w:val="single"/>
          <w:rtl/>
        </w:rPr>
        <w:t>9.2.21</w:t>
      </w:r>
      <w:r w:rsidRPr="006129EF">
        <w:rPr>
          <w:rFonts w:ascii="David" w:eastAsia="Calibri" w:hAnsi="David" w:cs="David"/>
          <w:b/>
          <w:bCs/>
          <w:sz w:val="24"/>
          <w:szCs w:val="24"/>
          <w:u w:val="single"/>
          <w:rtl/>
        </w:rPr>
        <w:t xml:space="preserve"> הוגשה התביעה</w:t>
      </w:r>
      <w:r w:rsidRPr="006129EF">
        <w:rPr>
          <w:rFonts w:ascii="David" w:eastAsia="Calibri" w:hAnsi="David" w:cs="David"/>
          <w:sz w:val="24"/>
          <w:szCs w:val="24"/>
          <w:rtl/>
        </w:rPr>
        <w:t xml:space="preserve">, וזאת רק לאחר שהוגשה עתירה מנהלית על ידי </w:t>
      </w:r>
      <w:r>
        <w:rPr>
          <w:rFonts w:ascii="David" w:eastAsia="Calibri" w:hAnsi="David" w:cs="David" w:hint="cs"/>
          <w:sz w:val="24"/>
          <w:szCs w:val="24"/>
          <w:rtl/>
        </w:rPr>
        <w:t xml:space="preserve">אלמונית ובנה </w:t>
      </w:r>
      <w:r>
        <w:rPr>
          <w:rFonts w:ascii="David" w:eastAsia="Calibri" w:hAnsi="David" w:cs="David" w:hint="cs"/>
          <w:sz w:val="24"/>
          <w:szCs w:val="24"/>
        </w:rPr>
        <w:t>XXX</w:t>
      </w:r>
      <w:r w:rsidRPr="006129EF">
        <w:rPr>
          <w:rFonts w:ascii="David" w:eastAsia="Calibri" w:hAnsi="David" w:cs="David"/>
          <w:sz w:val="24"/>
          <w:szCs w:val="24"/>
          <w:rtl/>
        </w:rPr>
        <w:t>, כמפורט לעיל, אשר בפסק הדין נקבע כי ככל ופקיד הרישום יפנה לבית משפט זה תוך 60 יום</w:t>
      </w:r>
      <w:r>
        <w:rPr>
          <w:rFonts w:ascii="David" w:eastAsia="Calibri" w:hAnsi="David" w:cs="David"/>
          <w:sz w:val="24"/>
          <w:szCs w:val="24"/>
          <w:rtl/>
        </w:rPr>
        <w:t xml:space="preserve"> לא ירשם </w:t>
      </w:r>
      <w:r>
        <w:rPr>
          <w:rFonts w:ascii="David" w:eastAsia="Calibri" w:hAnsi="David" w:cs="David" w:hint="cs"/>
          <w:sz w:val="24"/>
          <w:szCs w:val="24"/>
          <w:rtl/>
        </w:rPr>
        <w:t xml:space="preserve">בנה של אלמונית </w:t>
      </w:r>
      <w:r>
        <w:rPr>
          <w:rFonts w:ascii="David" w:eastAsia="Calibri" w:hAnsi="David" w:cs="David" w:hint="cs"/>
          <w:sz w:val="24"/>
          <w:szCs w:val="24"/>
        </w:rPr>
        <w:t>XXX</w:t>
      </w:r>
      <w:r w:rsidRPr="006129EF">
        <w:rPr>
          <w:rFonts w:ascii="David" w:eastAsia="Calibri" w:hAnsi="David" w:cs="David"/>
          <w:sz w:val="24"/>
          <w:szCs w:val="24"/>
          <w:rtl/>
        </w:rPr>
        <w:t xml:space="preserve"> כיהודי עד להכרעה בתביעה (ראו: פסק דינה של כב' השופטת עינת אבמן-מולר בעת"מ 45819-06-19 מיום 9.12.20 (נספח "8 לת/1 בעמ' 95-99). </w:t>
      </w:r>
      <w:r w:rsidRPr="006129EF">
        <w:rPr>
          <w:rFonts w:ascii="David" w:eastAsia="Calibri" w:hAnsi="David" w:cs="David"/>
          <w:b/>
          <w:bCs/>
          <w:sz w:val="24"/>
          <w:szCs w:val="24"/>
          <w:u w:val="single"/>
          <w:rtl/>
        </w:rPr>
        <w:t>גם כאן, לא ניתן הסבר לכך על ידי המבקשת</w:t>
      </w:r>
      <w:r w:rsidRPr="00F34460">
        <w:rPr>
          <w:rFonts w:ascii="David" w:eastAsia="Calibri" w:hAnsi="David" w:cs="David"/>
          <w:b/>
          <w:bCs/>
          <w:sz w:val="24"/>
          <w:szCs w:val="24"/>
          <w:rtl/>
        </w:rPr>
        <w:t xml:space="preserve">. </w:t>
      </w:r>
      <w:r w:rsidRPr="00F34460">
        <w:rPr>
          <w:rFonts w:ascii="David" w:eastAsia="Calibri" w:hAnsi="David" w:cs="David"/>
          <w:sz w:val="24"/>
          <w:szCs w:val="24"/>
          <w:rtl/>
        </w:rPr>
        <w:t>ראו</w:t>
      </w:r>
      <w:r w:rsidRPr="006129EF">
        <w:rPr>
          <w:rFonts w:ascii="David" w:eastAsia="Calibri" w:hAnsi="David" w:cs="David"/>
          <w:sz w:val="24"/>
          <w:szCs w:val="24"/>
          <w:rtl/>
        </w:rPr>
        <w:t xml:space="preserve"> דברי הגב' א</w:t>
      </w:r>
      <w:r>
        <w:rPr>
          <w:rFonts w:ascii="David" w:eastAsia="Calibri" w:hAnsi="David" w:cs="David" w:hint="cs"/>
          <w:sz w:val="24"/>
          <w:szCs w:val="24"/>
          <w:rtl/>
        </w:rPr>
        <w:t>' א'</w:t>
      </w:r>
      <w:r w:rsidRPr="006129EF">
        <w:rPr>
          <w:rFonts w:ascii="David" w:eastAsia="Calibri" w:hAnsi="David" w:cs="David"/>
          <w:sz w:val="24"/>
          <w:szCs w:val="24"/>
          <w:rtl/>
        </w:rPr>
        <w:t xml:space="preserve"> בדיון מיום 24.11.22 (החל מעמ' 13 בשורות 15-18):</w:t>
      </w:r>
    </w:p>
    <w:p w:rsidR="002B3668" w:rsidRPr="006129EF" w:rsidRDefault="002B3668" w:rsidP="002B3668">
      <w:pPr>
        <w:pStyle w:val="a9"/>
        <w:spacing w:after="0" w:line="360" w:lineRule="auto"/>
        <w:ind w:left="567" w:hanging="284"/>
        <w:jc w:val="both"/>
        <w:rPr>
          <w:rFonts w:ascii="David" w:eastAsia="Calibri" w:hAnsi="David" w:cs="David"/>
          <w:b/>
          <w:bCs/>
          <w:sz w:val="24"/>
          <w:szCs w:val="24"/>
          <w:u w:val="single"/>
        </w:rPr>
      </w:pPr>
      <w:r w:rsidRPr="006129EF">
        <w:rPr>
          <w:rFonts w:ascii="David" w:eastAsia="Calibri" w:hAnsi="David" w:cs="David"/>
          <w:b/>
          <w:bCs/>
          <w:sz w:val="24"/>
          <w:szCs w:val="24"/>
          <w:rtl/>
        </w:rPr>
        <w:t xml:space="preserve">"ש: </w:t>
      </w:r>
      <w:r w:rsidRPr="006129EF">
        <w:rPr>
          <w:rFonts w:ascii="David" w:eastAsia="Calibri" w:hAnsi="David" w:cs="David"/>
          <w:b/>
          <w:bCs/>
          <w:sz w:val="24"/>
          <w:szCs w:val="24"/>
          <w:u w:val="single"/>
          <w:rtl/>
        </w:rPr>
        <w:t>עכשיו אתם פניתם לבית משפט לענייני משפחה רק בשנת 2021 אני שואל מדוע משנת 2007 ועד 2021 אף אחד לא פנה לבית המשפט לענייני משפחה כפי שאתם ידעתם וטענתם במכתב? רק על זה אני שואל</w:t>
      </w:r>
    </w:p>
    <w:p w:rsidR="002B3668" w:rsidRPr="006129EF" w:rsidRDefault="002B3668" w:rsidP="002B3668">
      <w:pPr>
        <w:pStyle w:val="a9"/>
        <w:spacing w:after="0" w:line="360" w:lineRule="auto"/>
        <w:ind w:left="567" w:hanging="284"/>
        <w:jc w:val="both"/>
        <w:rPr>
          <w:rFonts w:ascii="David" w:eastAsia="Calibri" w:hAnsi="David" w:cs="David"/>
          <w:b/>
          <w:bCs/>
          <w:sz w:val="24"/>
          <w:szCs w:val="24"/>
          <w:rtl/>
        </w:rPr>
      </w:pPr>
      <w:r w:rsidRPr="006129EF">
        <w:rPr>
          <w:rFonts w:ascii="David" w:eastAsia="Calibri" w:hAnsi="David" w:cs="David"/>
          <w:b/>
          <w:bCs/>
          <w:sz w:val="24"/>
          <w:szCs w:val="24"/>
          <w:rtl/>
        </w:rPr>
        <w:t xml:space="preserve">ת: </w:t>
      </w:r>
      <w:r w:rsidRPr="006129EF">
        <w:rPr>
          <w:rFonts w:ascii="David" w:eastAsia="Calibri" w:hAnsi="David" w:cs="David"/>
          <w:b/>
          <w:bCs/>
          <w:sz w:val="24"/>
          <w:szCs w:val="24"/>
          <w:u w:val="single"/>
          <w:rtl/>
        </w:rPr>
        <w:t>אין לי תשובה על זה</w:t>
      </w:r>
      <w:r w:rsidRPr="006129EF">
        <w:rPr>
          <w:rFonts w:ascii="David" w:eastAsia="Calibri" w:hAnsi="David" w:cs="David"/>
          <w:b/>
          <w:bCs/>
          <w:sz w:val="24"/>
          <w:szCs w:val="24"/>
          <w:rtl/>
        </w:rPr>
        <w:t>".</w:t>
      </w:r>
    </w:p>
    <w:p w:rsidR="002B3668" w:rsidRPr="006129EF" w:rsidRDefault="002B3668" w:rsidP="002B3668">
      <w:pPr>
        <w:pStyle w:val="a9"/>
        <w:spacing w:after="0" w:line="360" w:lineRule="auto"/>
        <w:jc w:val="both"/>
        <w:rPr>
          <w:rFonts w:ascii="David" w:eastAsia="Calibri" w:hAnsi="David" w:cs="David"/>
          <w:b/>
          <w:bCs/>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Pr>
      </w:pPr>
      <w:r w:rsidRPr="006129EF">
        <w:rPr>
          <w:rFonts w:ascii="David" w:eastAsia="Calibri" w:hAnsi="David" w:cs="David"/>
          <w:b/>
          <w:bCs/>
          <w:sz w:val="24"/>
          <w:szCs w:val="24"/>
          <w:u w:val="single"/>
          <w:rtl/>
        </w:rPr>
        <w:t xml:space="preserve">הלכה למעשה, חלפו 30 שנים ממועד הפנייה הראשונה (וקבלת ההתנגדות לתיקון מטעם </w:t>
      </w:r>
      <w:r>
        <w:rPr>
          <w:rFonts w:ascii="David" w:eastAsia="Calibri" w:hAnsi="David" w:cs="David" w:hint="cs"/>
          <w:b/>
          <w:bCs/>
          <w:sz w:val="24"/>
          <w:szCs w:val="24"/>
          <w:u w:val="single"/>
          <w:rtl/>
        </w:rPr>
        <w:t xml:space="preserve">פלונית </w:t>
      </w:r>
      <w:r w:rsidRPr="006129EF">
        <w:rPr>
          <w:rFonts w:ascii="David" w:eastAsia="Calibri" w:hAnsi="David" w:cs="David"/>
          <w:b/>
          <w:bCs/>
          <w:sz w:val="24"/>
          <w:szCs w:val="24"/>
          <w:u w:val="single"/>
          <w:rtl/>
        </w:rPr>
        <w:t>ובנותיה) עד להגשת התביעה.</w:t>
      </w:r>
      <w:r w:rsidRPr="006129EF">
        <w:rPr>
          <w:rFonts w:ascii="David" w:eastAsia="Calibri" w:hAnsi="David" w:cs="David"/>
          <w:sz w:val="24"/>
          <w:szCs w:val="24"/>
          <w:rtl/>
        </w:rPr>
        <w:t xml:space="preserve"> מדובר בתקופה ארוכה כאשר בין לבין לא נוספה כל ראיה חדשה, כשהתביעה התבססה על תעודות הלידה בלבד, תעודות שהוכח כי היו בידי משרד הפנים עוד בשנת 1991.  </w:t>
      </w:r>
    </w:p>
    <w:p w:rsidR="002B3668" w:rsidRPr="006129EF" w:rsidRDefault="002B3668" w:rsidP="002B3668">
      <w:pPr>
        <w:pStyle w:val="a9"/>
        <w:spacing w:after="0" w:line="360" w:lineRule="auto"/>
        <w:ind w:left="368"/>
        <w:jc w:val="both"/>
        <w:rPr>
          <w:rFonts w:ascii="David" w:eastAsia="Calibri" w:hAnsi="David" w:cs="David"/>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Pr>
      </w:pPr>
      <w:r w:rsidRPr="006129EF">
        <w:rPr>
          <w:rFonts w:ascii="David" w:eastAsia="Calibri" w:hAnsi="David" w:cs="David"/>
          <w:sz w:val="24"/>
          <w:szCs w:val="24"/>
          <w:rtl/>
        </w:rPr>
        <w:t>יובהר כי במהלך התקופה האמורה, לא חלה כל התקדמות בהליך לשינוי הרישום, משרד הפנים לא נקט בהליך המתבקש בנסיבות והוא הגשת תביעה לבית משפט זה. אני סבורה כי יש לראות בהתנהלות זו היכולה להתפרש כויתור על הגשת תביעה או זניחה של שינוי המרשם (ראו והשוו: דברי כב' השופט ס' ג'יוסי בעמ"ש פלוני (בפיסקה 39).</w:t>
      </w:r>
    </w:p>
    <w:p w:rsidR="002B3668" w:rsidRPr="006129EF" w:rsidRDefault="002B3668" w:rsidP="002B3668">
      <w:pPr>
        <w:pStyle w:val="a9"/>
        <w:spacing w:after="0" w:line="360" w:lineRule="auto"/>
        <w:ind w:left="283"/>
        <w:jc w:val="both"/>
        <w:rPr>
          <w:rFonts w:ascii="David" w:eastAsia="Calibri" w:hAnsi="David" w:cs="David"/>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b/>
          <w:bCs/>
          <w:sz w:val="24"/>
          <w:szCs w:val="24"/>
          <w:u w:val="single"/>
          <w:rtl/>
        </w:rPr>
      </w:pPr>
      <w:r w:rsidRPr="006129EF">
        <w:rPr>
          <w:rFonts w:ascii="David" w:eastAsia="Calibri" w:hAnsi="David" w:cs="David"/>
          <w:sz w:val="24"/>
          <w:szCs w:val="24"/>
          <w:rtl/>
        </w:rPr>
        <w:t xml:space="preserve">יוטעם כי </w:t>
      </w:r>
      <w:r w:rsidRPr="006129EF">
        <w:rPr>
          <w:rFonts w:ascii="David" w:eastAsia="Calibri" w:hAnsi="David" w:cs="David"/>
          <w:b/>
          <w:bCs/>
          <w:sz w:val="24"/>
          <w:szCs w:val="24"/>
          <w:u w:val="single"/>
          <w:rtl/>
        </w:rPr>
        <w:t>למשיבים אינטרסים כבדי משקל</w:t>
      </w:r>
      <w:r w:rsidRPr="006129EF">
        <w:rPr>
          <w:rFonts w:ascii="David" w:eastAsia="Calibri" w:hAnsi="David" w:cs="David"/>
          <w:sz w:val="24"/>
          <w:szCs w:val="24"/>
          <w:rtl/>
        </w:rPr>
        <w:t>. לענ</w:t>
      </w:r>
      <w:r>
        <w:rPr>
          <w:rFonts w:ascii="David" w:eastAsia="Calibri" w:hAnsi="David" w:cs="David" w:hint="cs"/>
          <w:sz w:val="24"/>
          <w:szCs w:val="24"/>
          <w:rtl/>
        </w:rPr>
        <w:t>י</w:t>
      </w:r>
      <w:r w:rsidRPr="006129EF">
        <w:rPr>
          <w:rFonts w:ascii="David" w:eastAsia="Calibri" w:hAnsi="David" w:cs="David"/>
          <w:sz w:val="24"/>
          <w:szCs w:val="24"/>
          <w:rtl/>
        </w:rPr>
        <w:t>ין א</w:t>
      </w:r>
      <w:r>
        <w:rPr>
          <w:rFonts w:ascii="David" w:eastAsia="Calibri" w:hAnsi="David" w:cs="David"/>
          <w:sz w:val="24"/>
          <w:szCs w:val="24"/>
          <w:rtl/>
        </w:rPr>
        <w:t xml:space="preserve">ינטרס ההסתמכות, ראויים לציון דברי כב' השופט </w:t>
      </w:r>
      <w:r w:rsidRPr="006129EF">
        <w:rPr>
          <w:rFonts w:ascii="David" w:eastAsia="Calibri" w:hAnsi="David" w:cs="David"/>
          <w:sz w:val="24"/>
          <w:szCs w:val="24"/>
          <w:rtl/>
        </w:rPr>
        <w:t xml:space="preserve">ג'יוסי בעמ"ש פלוני (בפיסקה 39): </w:t>
      </w:r>
      <w:r w:rsidRPr="006129EF">
        <w:rPr>
          <w:rFonts w:ascii="David" w:eastAsia="Calibri" w:hAnsi="David" w:cs="David"/>
          <w:b/>
          <w:bCs/>
          <w:sz w:val="24"/>
          <w:szCs w:val="24"/>
          <w:rtl/>
        </w:rPr>
        <w:t xml:space="preserve">"...המשקל הרב שיש לייחס לאינטרס ההסתמכות של המערערים, מתחייב לאור התקופה הארוכה של 25 שנה מאז הגעתם לישראל ורישומם במרשם האוכלוסין לראשונה, במהלכה משתקעים בארץ, מרחיבים את המשפחה, ודור חדש נולד לתוך אותה הוויה ועוד, ועד להגשת התביעה בעניינם". </w:t>
      </w:r>
      <w:r w:rsidRPr="006129EF">
        <w:rPr>
          <w:rFonts w:ascii="David" w:eastAsia="Calibri" w:hAnsi="David" w:cs="David"/>
          <w:b/>
          <w:bCs/>
          <w:sz w:val="24"/>
          <w:szCs w:val="24"/>
          <w:u w:val="single"/>
          <w:rtl/>
        </w:rPr>
        <w:t>הוא הדין בענייננו, כאשר במקרה דנן מדובר בתקופה ארוכה של 30 שנה.</w:t>
      </w:r>
    </w:p>
    <w:p w:rsidR="002B3668" w:rsidRPr="006129EF" w:rsidRDefault="002B3668" w:rsidP="002B3668">
      <w:pPr>
        <w:pStyle w:val="a9"/>
        <w:spacing w:after="0" w:line="360" w:lineRule="auto"/>
        <w:jc w:val="both"/>
        <w:rPr>
          <w:rFonts w:ascii="David" w:eastAsia="Calibri" w:hAnsi="David" w:cs="David"/>
          <w:b/>
          <w:bCs/>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לשם סיבור האוזן, על מנת להבהיר עד כמה אינטרס ההסתמכות עמוק </w:t>
      </w:r>
      <w:r>
        <w:rPr>
          <w:rFonts w:ascii="David" w:eastAsia="Calibri" w:hAnsi="David" w:cs="David"/>
          <w:sz w:val="24"/>
          <w:szCs w:val="24"/>
          <w:rtl/>
        </w:rPr>
        <w:t xml:space="preserve">במקרה שלפניי, יצוין כי בעלה של </w:t>
      </w:r>
      <w:r>
        <w:rPr>
          <w:rFonts w:ascii="David" w:eastAsia="Calibri" w:hAnsi="David" w:cs="David" w:hint="cs"/>
          <w:sz w:val="24"/>
          <w:szCs w:val="24"/>
          <w:rtl/>
        </w:rPr>
        <w:t>הבת הנוספת</w:t>
      </w:r>
      <w:r w:rsidRPr="006129EF">
        <w:rPr>
          <w:rFonts w:ascii="David" w:eastAsia="Calibri" w:hAnsi="David" w:cs="David"/>
          <w:sz w:val="24"/>
          <w:szCs w:val="24"/>
          <w:rtl/>
        </w:rPr>
        <w:t xml:space="preserve">, מר </w:t>
      </w:r>
      <w:r>
        <w:rPr>
          <w:rFonts w:ascii="David" w:eastAsia="Calibri" w:hAnsi="David" w:cs="David" w:hint="cs"/>
          <w:sz w:val="24"/>
          <w:szCs w:val="24"/>
        </w:rPr>
        <w:t>XXX</w:t>
      </w:r>
      <w:r w:rsidRPr="006129EF">
        <w:rPr>
          <w:rFonts w:ascii="David" w:eastAsia="Calibri" w:hAnsi="David" w:cs="David"/>
          <w:sz w:val="24"/>
          <w:szCs w:val="24"/>
          <w:rtl/>
        </w:rPr>
        <w:t>, עבר גיור בטרם נישואיו ל</w:t>
      </w:r>
      <w:r>
        <w:rPr>
          <w:rFonts w:ascii="David" w:eastAsia="Calibri" w:hAnsi="David" w:cs="David" w:hint="cs"/>
          <w:sz w:val="24"/>
          <w:szCs w:val="24"/>
          <w:rtl/>
        </w:rPr>
        <w:t>בת הנוספת</w:t>
      </w:r>
      <w:r w:rsidRPr="006129EF">
        <w:rPr>
          <w:rFonts w:ascii="David" w:eastAsia="Calibri" w:hAnsi="David" w:cs="David"/>
          <w:sz w:val="24"/>
          <w:szCs w:val="24"/>
          <w:rtl/>
        </w:rPr>
        <w:t>, לבקשתה (ראו: נספח "ה" לעמדת המש</w:t>
      </w:r>
      <w:r>
        <w:rPr>
          <w:rFonts w:ascii="David" w:eastAsia="Calibri" w:hAnsi="David" w:cs="David"/>
          <w:sz w:val="24"/>
          <w:szCs w:val="24"/>
          <w:rtl/>
        </w:rPr>
        <w:t xml:space="preserve">יבה ובקשה לדחייה על הסף שהגישה </w:t>
      </w:r>
      <w:r>
        <w:rPr>
          <w:rFonts w:ascii="David" w:eastAsia="Calibri" w:hAnsi="David" w:cs="David" w:hint="cs"/>
          <w:sz w:val="24"/>
          <w:szCs w:val="24"/>
          <w:rtl/>
        </w:rPr>
        <w:t xml:space="preserve">פלונית </w:t>
      </w:r>
      <w:r w:rsidRPr="006129EF">
        <w:rPr>
          <w:rFonts w:ascii="David" w:eastAsia="Calibri" w:hAnsi="David" w:cs="David"/>
          <w:sz w:val="24"/>
          <w:szCs w:val="24"/>
          <w:rtl/>
        </w:rPr>
        <w:t>לביה"ד הרבני במסגרת תיק אישור היהדות (נספח "6" לת/1, בעמ' 57).</w:t>
      </w:r>
    </w:p>
    <w:p w:rsidR="002B3668" w:rsidRPr="006129EF" w:rsidRDefault="002B3668" w:rsidP="002B3668">
      <w:pPr>
        <w:pStyle w:val="a9"/>
        <w:spacing w:after="0" w:line="360" w:lineRule="auto"/>
        <w:jc w:val="both"/>
        <w:rPr>
          <w:rFonts w:ascii="David" w:eastAsia="Calibri"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 xml:space="preserve">עוצמתו של אינטרס ההסתמכות בא לידי ביטוי גם בסעיף 16 לתצהירה של </w:t>
      </w:r>
      <w:r>
        <w:rPr>
          <w:rFonts w:ascii="David" w:eastAsia="Calibri" w:hAnsi="David" w:cs="David" w:hint="cs"/>
          <w:sz w:val="24"/>
          <w:szCs w:val="24"/>
          <w:rtl/>
        </w:rPr>
        <w:t>אלמונית</w:t>
      </w:r>
      <w:r w:rsidRPr="006129EF">
        <w:rPr>
          <w:rFonts w:ascii="David" w:eastAsia="Calibri" w:hAnsi="David" w:cs="David"/>
          <w:sz w:val="24"/>
          <w:szCs w:val="24"/>
          <w:rtl/>
        </w:rPr>
        <w:t xml:space="preserve"> (נ/1):</w:t>
      </w:r>
    </w:p>
    <w:p w:rsidR="002B3668" w:rsidRPr="006129EF" w:rsidRDefault="002B3668" w:rsidP="002B3668">
      <w:pPr>
        <w:spacing w:line="360" w:lineRule="auto"/>
        <w:ind w:left="283"/>
        <w:jc w:val="both"/>
        <w:rPr>
          <w:rFonts w:ascii="David" w:eastAsia="Calibri" w:hAnsi="David"/>
          <w:rtl/>
        </w:rPr>
      </w:pPr>
      <w:r w:rsidRPr="006129EF">
        <w:rPr>
          <w:rFonts w:ascii="David" w:hAnsi="David"/>
        </w:rPr>
        <w:drawing>
          <wp:inline distT="0" distB="0" distL="0" distR="0" wp14:anchorId="3E40BDF6" wp14:editId="54C45CC2">
            <wp:extent cx="5229225" cy="895350"/>
            <wp:effectExtent l="0" t="0" r="9525" b="0"/>
            <wp:docPr id="51" name="תמונה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895350"/>
                    </a:xfrm>
                    <a:prstGeom prst="rect">
                      <a:avLst/>
                    </a:prstGeom>
                    <a:noFill/>
                    <a:ln>
                      <a:noFill/>
                    </a:ln>
                  </pic:spPr>
                </pic:pic>
              </a:graphicData>
            </a:graphic>
          </wp:inline>
        </w:drawing>
      </w:r>
    </w:p>
    <w:p w:rsidR="002B3668" w:rsidRPr="006129EF" w:rsidRDefault="002B3668" w:rsidP="002B3668">
      <w:pPr>
        <w:pStyle w:val="a9"/>
        <w:spacing w:after="0" w:line="360" w:lineRule="auto"/>
        <w:jc w:val="both"/>
        <w:rPr>
          <w:rFonts w:ascii="David" w:eastAsia="Calibri"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 xml:space="preserve">כמו כן, כפי שצוין בסעיף 19 לסיכומי המבקשת, </w:t>
      </w:r>
      <w:r>
        <w:rPr>
          <w:rFonts w:ascii="David" w:eastAsia="Calibri" w:hAnsi="David" w:cs="David" w:hint="cs"/>
          <w:sz w:val="24"/>
          <w:szCs w:val="24"/>
          <w:rtl/>
        </w:rPr>
        <w:t>אלמונית</w:t>
      </w:r>
      <w:r w:rsidRPr="006129EF">
        <w:rPr>
          <w:rFonts w:ascii="David" w:eastAsia="Calibri" w:hAnsi="David" w:cs="David"/>
          <w:sz w:val="24"/>
          <w:szCs w:val="24"/>
          <w:rtl/>
        </w:rPr>
        <w:t xml:space="preserve"> אישרה בעדותה בפניי בדיון מיום 24.11.22 כי בתעודת הזהות הראשונה שקיבלה בגיל 16 היא כבר הייתה רשומה כיהודייה (בעמ' 25 בשורות 6-12 ובעמ' 26 בשורות 25-39), דהיינו, הסתמכותה ארוכת שנים, ולדידי, ראוי להגן עליה, גם משיקולי הצדק וההגינות, המנחים את</w:t>
      </w:r>
      <w:r>
        <w:rPr>
          <w:rFonts w:ascii="David" w:eastAsia="Calibri" w:hAnsi="David" w:cs="David" w:hint="cs"/>
          <w:sz w:val="24"/>
          <w:szCs w:val="24"/>
          <w:rtl/>
        </w:rPr>
        <w:t xml:space="preserve"> בית המשפט לענייני משפחה</w:t>
      </w:r>
      <w:r w:rsidRPr="006129EF">
        <w:rPr>
          <w:rFonts w:ascii="David" w:eastAsia="Calibri" w:hAnsi="David" w:cs="David"/>
          <w:sz w:val="24"/>
          <w:szCs w:val="24"/>
          <w:rtl/>
        </w:rPr>
        <w:t xml:space="preserve"> במסגרת כל הכרעותיו.</w:t>
      </w:r>
    </w:p>
    <w:p w:rsidR="002B3668" w:rsidRPr="006129EF" w:rsidRDefault="002B3668" w:rsidP="002B3668">
      <w:pPr>
        <w:pStyle w:val="a9"/>
        <w:spacing w:after="0" w:line="360" w:lineRule="auto"/>
        <w:ind w:left="283"/>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tl/>
        </w:rPr>
      </w:pPr>
      <w:r w:rsidRPr="006129EF">
        <w:rPr>
          <w:rFonts w:ascii="David" w:eastAsia="Calibri" w:hAnsi="David" w:cs="David"/>
          <w:sz w:val="24"/>
          <w:szCs w:val="24"/>
          <w:rtl/>
        </w:rPr>
        <w:t>שיקול נוסף הוא הנזק הראייתי שנגרם כתוצאה מהעיכוב בהגשת התביעה. הכנה של ראיות בנסיבות דנן גורמת להכבדה כספית וראייתית בלתי סבירות, שהולכות ומתגברות ככל שנוקפות השנים (ראו והשוו: דברי כב' השופט ג'יוסי בעמ"ש פלוני (בפיסקה 39).</w:t>
      </w:r>
    </w:p>
    <w:p w:rsidR="002B3668" w:rsidRPr="006129EF" w:rsidRDefault="002B3668" w:rsidP="002B3668">
      <w:pPr>
        <w:pStyle w:val="a9"/>
        <w:spacing w:after="0" w:line="360" w:lineRule="auto"/>
        <w:ind w:left="283"/>
        <w:jc w:val="both"/>
        <w:rPr>
          <w:rFonts w:ascii="David" w:eastAsia="Calibri" w:hAnsi="David" w:cs="David"/>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Pr>
      </w:pPr>
      <w:r w:rsidRPr="006129EF">
        <w:rPr>
          <w:rFonts w:ascii="David" w:eastAsia="Calibri" w:hAnsi="David" w:cs="David"/>
          <w:sz w:val="24"/>
          <w:szCs w:val="24"/>
          <w:rtl/>
        </w:rPr>
        <w:t>ראו גם: דברי כב' השופט ג'יוסי בעמ"ש פלוני (בפיסקה 41): "...</w:t>
      </w:r>
      <w:r w:rsidRPr="006129EF">
        <w:rPr>
          <w:rFonts w:ascii="David" w:eastAsia="Calibri" w:hAnsi="David" w:cs="David"/>
          <w:b/>
          <w:bCs/>
          <w:sz w:val="24"/>
          <w:szCs w:val="24"/>
          <w:rtl/>
        </w:rPr>
        <w:t>חלוף הזמן, הגם שאינו חזות הכל, יכול במקרים מסוימים להכריע את הכף במלאכת האיזון בין השיקולים בבחינת קיומו או העדרו של שיהוי מנהלי</w:t>
      </w:r>
      <w:r>
        <w:rPr>
          <w:rFonts w:ascii="David" w:eastAsia="Calibri" w:hAnsi="David" w:cs="David" w:hint="cs"/>
          <w:b/>
          <w:bCs/>
          <w:sz w:val="24"/>
          <w:szCs w:val="24"/>
          <w:rtl/>
        </w:rPr>
        <w:t>"</w:t>
      </w:r>
      <w:r w:rsidRPr="006129EF">
        <w:rPr>
          <w:rFonts w:ascii="David" w:eastAsia="Calibri" w:hAnsi="David" w:cs="David"/>
          <w:b/>
          <w:bCs/>
          <w:sz w:val="24"/>
          <w:szCs w:val="24"/>
          <w:rtl/>
        </w:rPr>
        <w:t>.</w:t>
      </w:r>
      <w:r w:rsidRPr="006129EF">
        <w:rPr>
          <w:rFonts w:ascii="David" w:eastAsia="Calibri" w:hAnsi="David" w:cs="David"/>
          <w:sz w:val="24"/>
          <w:szCs w:val="24"/>
          <w:rtl/>
        </w:rPr>
        <w:t xml:space="preserve"> </w:t>
      </w:r>
    </w:p>
    <w:p w:rsidR="002B3668" w:rsidRPr="006129EF" w:rsidRDefault="002B3668" w:rsidP="002B3668">
      <w:pPr>
        <w:pStyle w:val="a9"/>
        <w:spacing w:after="0" w:line="360" w:lineRule="auto"/>
        <w:ind w:left="283"/>
        <w:jc w:val="both"/>
        <w:rPr>
          <w:rFonts w:ascii="David" w:eastAsia="Calibri" w:hAnsi="David" w:cs="David"/>
          <w:sz w:val="24"/>
          <w:szCs w:val="24"/>
          <w:u w:val="single"/>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u w:val="single"/>
          <w:rtl/>
        </w:rPr>
      </w:pPr>
      <w:r w:rsidRPr="006129EF">
        <w:rPr>
          <w:rFonts w:ascii="David" w:eastAsia="Calibri" w:hAnsi="David" w:cs="David"/>
          <w:sz w:val="24"/>
          <w:szCs w:val="24"/>
          <w:rtl/>
        </w:rPr>
        <w:t xml:space="preserve">כיום </w:t>
      </w:r>
      <w:r>
        <w:rPr>
          <w:rFonts w:ascii="David" w:eastAsia="Calibri" w:hAnsi="David" w:cs="David" w:hint="cs"/>
          <w:sz w:val="24"/>
          <w:szCs w:val="24"/>
          <w:rtl/>
        </w:rPr>
        <w:t>פלונית</w:t>
      </w:r>
      <w:r w:rsidRPr="006129EF">
        <w:rPr>
          <w:rFonts w:ascii="David" w:eastAsia="Calibri" w:hAnsi="David" w:cs="David"/>
          <w:sz w:val="24"/>
          <w:szCs w:val="24"/>
          <w:rtl/>
        </w:rPr>
        <w:t xml:space="preserve"> בת 72. היא רשומה כיהודיה במרשם האוכלוסין מאז שנת 1991. לא ניתן על ידי המבקשת הסבר לשיהוי הממושך שהתפרס על פני שנים רבות. כמו כן, מהתנהלות זו למדים </w:t>
      </w:r>
      <w:r w:rsidRPr="006129EF">
        <w:rPr>
          <w:rFonts w:ascii="David" w:eastAsia="Calibri" w:hAnsi="David" w:cs="David"/>
          <w:sz w:val="24"/>
          <w:szCs w:val="24"/>
          <w:rtl/>
        </w:rPr>
        <w:lastRenderedPageBreak/>
        <w:t>שהאינטרס של מהימנות המרשם לא היה חזק מספיק בכדי להחיש את הטיפול בעניינם של המשיבים ולהביא להסדרתו. במכלול השיקול</w:t>
      </w:r>
      <w:r>
        <w:rPr>
          <w:rFonts w:ascii="David" w:eastAsia="Calibri" w:hAnsi="David" w:cs="David"/>
          <w:sz w:val="24"/>
          <w:szCs w:val="24"/>
          <w:rtl/>
        </w:rPr>
        <w:t xml:space="preserve">ים ואיזונם, סבורני שיש לקבוע </w:t>
      </w:r>
      <w:r>
        <w:rPr>
          <w:rFonts w:ascii="David" w:eastAsia="Calibri" w:hAnsi="David" w:cs="David" w:hint="cs"/>
          <w:sz w:val="24"/>
          <w:szCs w:val="24"/>
          <w:rtl/>
        </w:rPr>
        <w:t>ש</w:t>
      </w:r>
      <w:r w:rsidRPr="006129EF">
        <w:rPr>
          <w:rFonts w:ascii="David" w:eastAsia="Calibri" w:hAnsi="David" w:cs="David"/>
          <w:sz w:val="24"/>
          <w:szCs w:val="24"/>
          <w:rtl/>
        </w:rPr>
        <w:t>פקיד הרישום פעל בשיהוי וגם בשל כך, יש לדחות את התביעה (ראו והשוו: דברי כב' השופט ג'יוסי בעמ"ש פלוני (בפיסקה 42).</w:t>
      </w:r>
    </w:p>
    <w:p w:rsidR="002B3668" w:rsidRPr="006129EF" w:rsidRDefault="002B3668" w:rsidP="002B3668">
      <w:pPr>
        <w:pStyle w:val="a9"/>
        <w:spacing w:after="0" w:line="360" w:lineRule="auto"/>
        <w:jc w:val="both"/>
        <w:rPr>
          <w:rFonts w:ascii="David" w:eastAsia="Calibri"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eastAsia="Calibri" w:hAnsi="David" w:cs="David"/>
          <w:sz w:val="24"/>
          <w:szCs w:val="24"/>
          <w:rtl/>
        </w:rPr>
        <w:t>ראו לעני</w:t>
      </w:r>
      <w:r>
        <w:rPr>
          <w:rFonts w:ascii="David" w:eastAsia="Calibri" w:hAnsi="David" w:cs="David" w:hint="cs"/>
          <w:sz w:val="24"/>
          <w:szCs w:val="24"/>
          <w:rtl/>
        </w:rPr>
        <w:t>י</w:t>
      </w:r>
      <w:r w:rsidRPr="006129EF">
        <w:rPr>
          <w:rFonts w:ascii="David" w:eastAsia="Calibri" w:hAnsi="David" w:cs="David"/>
          <w:sz w:val="24"/>
          <w:szCs w:val="24"/>
          <w:rtl/>
        </w:rPr>
        <w:t>ן זה גם: פסק דינה של כב' השופטת עינת אבמן-מולר מבית</w:t>
      </w:r>
      <w:r>
        <w:rPr>
          <w:rFonts w:ascii="David" w:eastAsia="Calibri" w:hAnsi="David" w:cs="David"/>
          <w:sz w:val="24"/>
          <w:szCs w:val="24"/>
          <w:rtl/>
        </w:rPr>
        <w:t xml:space="preserve"> המשפט לעניינים מנהליים ב</w:t>
      </w:r>
      <w:r>
        <w:rPr>
          <w:rFonts w:ascii="David" w:eastAsia="Calibri" w:hAnsi="David" w:cs="David" w:hint="cs"/>
          <w:sz w:val="24"/>
          <w:szCs w:val="24"/>
        </w:rPr>
        <w:t>XXX</w:t>
      </w:r>
      <w:r w:rsidRPr="006129EF">
        <w:rPr>
          <w:rFonts w:ascii="David" w:eastAsia="Calibri" w:hAnsi="David" w:cs="David"/>
          <w:sz w:val="24"/>
          <w:szCs w:val="24"/>
          <w:rtl/>
        </w:rPr>
        <w:t xml:space="preserve"> בעת"מ 45819-06-19 מיום 9.12.20 (נספח "8 לת/1 בעמ' 95-99) שקבע כי </w:t>
      </w:r>
      <w:r w:rsidRPr="006129EF">
        <w:rPr>
          <w:rFonts w:ascii="David" w:eastAsia="Calibri" w:hAnsi="David" w:cs="David"/>
          <w:sz w:val="24"/>
          <w:szCs w:val="24"/>
          <w:u w:val="single"/>
          <w:rtl/>
        </w:rPr>
        <w:t xml:space="preserve">מחדלו של פקיד הרישום לפעול בתוך זמן סביר לתיקון רישומה של </w:t>
      </w:r>
      <w:r>
        <w:rPr>
          <w:rFonts w:ascii="David" w:eastAsia="Calibri" w:hAnsi="David" w:cs="David" w:hint="cs"/>
          <w:sz w:val="24"/>
          <w:szCs w:val="24"/>
          <w:u w:val="single"/>
          <w:rtl/>
        </w:rPr>
        <w:t>אלמונית</w:t>
      </w:r>
      <w:r w:rsidRPr="006129EF">
        <w:rPr>
          <w:rFonts w:ascii="David" w:eastAsia="Calibri" w:hAnsi="David" w:cs="David"/>
          <w:sz w:val="24"/>
          <w:szCs w:val="24"/>
          <w:u w:val="single"/>
          <w:rtl/>
        </w:rPr>
        <w:t xml:space="preserve"> כיהודיה (ככל שהוא סבור שכך יש לעשות) משליך על סבירות החלטתו שלא לרשום את</w:t>
      </w:r>
      <w:r>
        <w:rPr>
          <w:rFonts w:ascii="David" w:eastAsia="Calibri" w:hAnsi="David" w:cs="David" w:hint="cs"/>
          <w:sz w:val="24"/>
          <w:szCs w:val="24"/>
          <w:u w:val="single"/>
          <w:rtl/>
        </w:rPr>
        <w:t xml:space="preserve"> בנה </w:t>
      </w:r>
      <w:r>
        <w:rPr>
          <w:rFonts w:ascii="David" w:eastAsia="Calibri" w:hAnsi="David" w:cs="David" w:hint="cs"/>
          <w:sz w:val="24"/>
          <w:szCs w:val="24"/>
          <w:u w:val="single"/>
        </w:rPr>
        <w:t>XXX</w:t>
      </w:r>
      <w:r w:rsidRPr="006129EF">
        <w:rPr>
          <w:rFonts w:ascii="David" w:eastAsia="Calibri" w:hAnsi="David" w:cs="David"/>
          <w:sz w:val="24"/>
          <w:szCs w:val="24"/>
          <w:u w:val="single"/>
          <w:rtl/>
        </w:rPr>
        <w:t xml:space="preserve"> כיהודי</w:t>
      </w:r>
      <w:r w:rsidRPr="006129EF">
        <w:rPr>
          <w:rFonts w:ascii="David" w:eastAsia="Calibri" w:hAnsi="David" w:cs="David"/>
          <w:sz w:val="24"/>
          <w:szCs w:val="24"/>
          <w:rtl/>
        </w:rPr>
        <w:t xml:space="preserve"> (פיסקה 13 לפסק דינה):</w:t>
      </w:r>
    </w:p>
    <w:p w:rsidR="002B3668" w:rsidRPr="006129EF" w:rsidRDefault="002B3668" w:rsidP="002B3668">
      <w:pPr>
        <w:spacing w:line="360" w:lineRule="auto"/>
        <w:ind w:left="283"/>
        <w:jc w:val="both"/>
        <w:rPr>
          <w:rFonts w:ascii="David" w:eastAsia="Calibri" w:hAnsi="David"/>
          <w:u w:val="single"/>
        </w:rPr>
      </w:pPr>
      <w:r w:rsidRPr="006129EF">
        <w:rPr>
          <w:rFonts w:ascii="David" w:eastAsia="Calibri" w:hAnsi="David"/>
        </w:rPr>
        <w:drawing>
          <wp:inline distT="0" distB="0" distL="0" distR="0" wp14:anchorId="0C2768E1" wp14:editId="5EEF3084">
            <wp:extent cx="5276850" cy="1009650"/>
            <wp:effectExtent l="0" t="0" r="0" b="0"/>
            <wp:docPr id="52" name="תמונה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1009650"/>
                    </a:xfrm>
                    <a:prstGeom prst="rect">
                      <a:avLst/>
                    </a:prstGeom>
                    <a:noFill/>
                    <a:ln>
                      <a:noFill/>
                    </a:ln>
                  </pic:spPr>
                </pic:pic>
              </a:graphicData>
            </a:graphic>
          </wp:inline>
        </w:drawing>
      </w:r>
    </w:p>
    <w:p w:rsidR="002B3668" w:rsidRPr="006129EF" w:rsidRDefault="002B3668" w:rsidP="002B3668">
      <w:pPr>
        <w:spacing w:line="360" w:lineRule="auto"/>
        <w:ind w:left="283"/>
        <w:jc w:val="both"/>
        <w:rPr>
          <w:rFonts w:ascii="David" w:eastAsia="Calibri" w:hAnsi="David"/>
          <w:u w:val="single"/>
          <w:rtl/>
        </w:rPr>
      </w:pPr>
      <w:r w:rsidRPr="006129EF">
        <w:rPr>
          <w:rFonts w:ascii="David" w:eastAsia="Calibri" w:hAnsi="David"/>
        </w:rPr>
        <w:drawing>
          <wp:inline distT="0" distB="0" distL="0" distR="0" wp14:anchorId="19251B50" wp14:editId="3F9579FE">
            <wp:extent cx="5267325" cy="2381250"/>
            <wp:effectExtent l="0" t="0" r="9525" b="0"/>
            <wp:docPr id="53" name="תמונה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67325" cy="2381250"/>
                    </a:xfrm>
                    <a:prstGeom prst="rect">
                      <a:avLst/>
                    </a:prstGeom>
                    <a:noFill/>
                    <a:ln>
                      <a:noFill/>
                    </a:ln>
                  </pic:spPr>
                </pic:pic>
              </a:graphicData>
            </a:graphic>
          </wp:inline>
        </w:drawing>
      </w:r>
    </w:p>
    <w:p w:rsidR="002B3668" w:rsidRPr="006129EF" w:rsidRDefault="002B3668" w:rsidP="002B3668">
      <w:pPr>
        <w:spacing w:line="360" w:lineRule="auto"/>
        <w:ind w:left="283"/>
        <w:jc w:val="both"/>
        <w:rPr>
          <w:rFonts w:ascii="David" w:eastAsia="Calibri" w:hAnsi="David"/>
          <w:u w:val="single"/>
          <w:rtl/>
        </w:rPr>
      </w:pPr>
      <w:r w:rsidRPr="006129EF">
        <w:rPr>
          <w:rFonts w:ascii="David" w:eastAsia="Calibri" w:hAnsi="David"/>
          <w:u w:val="single"/>
          <w:rtl/>
        </w:rPr>
        <w:t xml:space="preserve">מדובר במסקנה אליה הגיע בית המשפט לעניינים מנהליים במסגרת פסק דינו שניתן בעניינם של </w:t>
      </w:r>
      <w:r>
        <w:rPr>
          <w:rFonts w:ascii="David" w:eastAsia="Calibri" w:hAnsi="David" w:hint="cs"/>
          <w:u w:val="single"/>
          <w:rtl/>
        </w:rPr>
        <w:t xml:space="preserve">אלמונית ובנה </w:t>
      </w:r>
      <w:r>
        <w:rPr>
          <w:rFonts w:ascii="David" w:eastAsia="Calibri" w:hAnsi="David"/>
          <w:u w:val="single"/>
        </w:rPr>
        <w:t>XXX</w:t>
      </w:r>
      <w:r w:rsidRPr="006129EF">
        <w:rPr>
          <w:rFonts w:ascii="David" w:eastAsia="Calibri" w:hAnsi="David"/>
          <w:u w:val="single"/>
          <w:rtl/>
        </w:rPr>
        <w:t xml:space="preserve">, קביעה חלוטה שכן לא הוגש הליך ערעורי על פסק הדין, כאמור. </w:t>
      </w:r>
    </w:p>
    <w:p w:rsidR="002B3668" w:rsidRPr="006129EF" w:rsidRDefault="002B3668" w:rsidP="002B3668">
      <w:pPr>
        <w:pStyle w:val="a9"/>
        <w:spacing w:after="0" w:line="360" w:lineRule="auto"/>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eastAsia="Calibri" w:hAnsi="David" w:cs="David"/>
          <w:sz w:val="24"/>
          <w:szCs w:val="24"/>
          <w:rtl/>
        </w:rPr>
      </w:pPr>
      <w:r w:rsidRPr="006129EF">
        <w:rPr>
          <w:rFonts w:ascii="David" w:hAnsi="David" w:cs="David"/>
          <w:b/>
          <w:bCs/>
          <w:sz w:val="24"/>
          <w:szCs w:val="24"/>
          <w:u w:val="single"/>
          <w:rtl/>
        </w:rPr>
        <w:t>סיכומה של נקודה</w:t>
      </w:r>
      <w:r w:rsidRPr="006129EF">
        <w:rPr>
          <w:rFonts w:ascii="David" w:hAnsi="David" w:cs="David"/>
          <w:sz w:val="24"/>
          <w:szCs w:val="24"/>
          <w:rtl/>
        </w:rPr>
        <w:t xml:space="preserve">: אשר על כן, אני מוצאת כי דין התביעה דחייה, </w:t>
      </w:r>
      <w:r w:rsidRPr="006129EF">
        <w:rPr>
          <w:rFonts w:ascii="David" w:eastAsia="Calibri" w:hAnsi="David" w:cs="David"/>
          <w:sz w:val="24"/>
          <w:szCs w:val="24"/>
          <w:rtl/>
        </w:rPr>
        <w:t>הן משום שהמבקשת לא עמדה בנטל להוכיח שהמבקשים אינם יהודים, והן משום שבנסיבות העניין, ההחלטה ליזום את ההליך לשינוי המרשם – סעיפי הלאום והדת, שנים רבות לאחר שנאסף חומר הראיות ששימש את המבקשת בתביעתה, וללא הסבר מניח את הדעת לחלוף הזמן, עולה לכדי שיהוי מנהלי המצדיק דחייתה (ראו והשוו: דברי כב' השופט ג'יוסי בעמ"ש פלוני (בפיסקה 49).</w:t>
      </w:r>
    </w:p>
    <w:p w:rsidR="002B3668" w:rsidRPr="006129EF" w:rsidRDefault="002B3668" w:rsidP="002B3668">
      <w:pPr>
        <w:spacing w:line="360" w:lineRule="auto"/>
        <w:jc w:val="both"/>
        <w:rPr>
          <w:rFonts w:ascii="David" w:eastAsiaTheme="minorHAnsi" w:hAnsi="David"/>
          <w:b/>
          <w:bCs/>
          <w:u w:val="single"/>
          <w:rtl/>
        </w:rPr>
      </w:pPr>
    </w:p>
    <w:p w:rsidR="00F34460" w:rsidRDefault="00F34460" w:rsidP="002B3668">
      <w:pPr>
        <w:spacing w:line="360" w:lineRule="auto"/>
        <w:ind w:left="-142"/>
        <w:jc w:val="both"/>
        <w:rPr>
          <w:rFonts w:ascii="David" w:hAnsi="David"/>
          <w:b/>
          <w:bCs/>
          <w:u w:val="single"/>
          <w:rtl/>
        </w:rPr>
      </w:pPr>
    </w:p>
    <w:p w:rsidR="002B3668" w:rsidRPr="006129EF" w:rsidRDefault="002B3668" w:rsidP="002B3668">
      <w:pPr>
        <w:spacing w:line="360" w:lineRule="auto"/>
        <w:ind w:left="-142"/>
        <w:jc w:val="both"/>
        <w:rPr>
          <w:rFonts w:ascii="David" w:hAnsi="David"/>
          <w:b/>
          <w:bCs/>
          <w:u w:val="single"/>
          <w:rtl/>
        </w:rPr>
      </w:pPr>
      <w:r w:rsidRPr="006129EF">
        <w:rPr>
          <w:rFonts w:ascii="David" w:hAnsi="David"/>
          <w:b/>
          <w:bCs/>
          <w:u w:val="single"/>
          <w:rtl/>
        </w:rPr>
        <w:lastRenderedPageBreak/>
        <w:t>סוף דבר:</w:t>
      </w:r>
    </w:p>
    <w:p w:rsidR="002B3668" w:rsidRPr="006129EF" w:rsidRDefault="002B3668" w:rsidP="002B3668">
      <w:pPr>
        <w:pStyle w:val="a9"/>
        <w:spacing w:after="0" w:line="360" w:lineRule="auto"/>
        <w:ind w:left="368"/>
        <w:jc w:val="both"/>
        <w:rPr>
          <w:rFonts w:ascii="David" w:hAnsi="David" w:cs="David"/>
          <w:sz w:val="24"/>
          <w:szCs w:val="24"/>
          <w:rtl/>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בטרם חתימה ייאמר כי לא נעלמו מעיני טענותיהם הנוספות של הצדדים. ואולם, לא מצאתי לנכון לפרט את מלוא הטענות שהועלו על ידי הצדדים, שכן לטעמי, די במה שפורט לעיל, די כדי לבסס את התוצאה אליה הגעתי.</w:t>
      </w:r>
    </w:p>
    <w:p w:rsidR="002B3668" w:rsidRPr="006129EF" w:rsidRDefault="002B3668" w:rsidP="002B3668">
      <w:pPr>
        <w:pStyle w:val="a9"/>
        <w:spacing w:after="0" w:line="360" w:lineRule="auto"/>
        <w:ind w:left="283"/>
        <w:jc w:val="both"/>
        <w:rPr>
          <w:rFonts w:ascii="David" w:hAnsi="David" w:cs="David"/>
          <w:sz w:val="24"/>
          <w:szCs w:val="24"/>
        </w:rPr>
      </w:pPr>
    </w:p>
    <w:p w:rsidR="002B3668" w:rsidRPr="006129EF" w:rsidRDefault="002B3668" w:rsidP="002B3668">
      <w:pPr>
        <w:pStyle w:val="a9"/>
        <w:numPr>
          <w:ilvl w:val="0"/>
          <w:numId w:val="1"/>
        </w:numPr>
        <w:spacing w:after="0" w:line="360" w:lineRule="auto"/>
        <w:ind w:left="283"/>
        <w:jc w:val="both"/>
        <w:rPr>
          <w:rFonts w:ascii="David" w:hAnsi="David" w:cs="David"/>
          <w:sz w:val="24"/>
          <w:szCs w:val="24"/>
        </w:rPr>
      </w:pPr>
      <w:r w:rsidRPr="006129EF">
        <w:rPr>
          <w:rFonts w:ascii="David" w:hAnsi="David" w:cs="David"/>
          <w:sz w:val="24"/>
          <w:szCs w:val="24"/>
          <w:rtl/>
        </w:rPr>
        <w:t>לנוכח כל האמור והמפורט, הנני פוסקת כדלקמן:</w:t>
      </w:r>
    </w:p>
    <w:p w:rsidR="002B3668" w:rsidRDefault="002B3668" w:rsidP="002B3668">
      <w:pPr>
        <w:pStyle w:val="a9"/>
        <w:numPr>
          <w:ilvl w:val="0"/>
          <w:numId w:val="4"/>
        </w:numPr>
        <w:spacing w:after="0" w:line="360" w:lineRule="auto"/>
        <w:jc w:val="both"/>
        <w:rPr>
          <w:rFonts w:ascii="David" w:hAnsi="David" w:cs="David"/>
          <w:sz w:val="24"/>
          <w:szCs w:val="24"/>
        </w:rPr>
      </w:pPr>
      <w:r w:rsidRPr="006129EF">
        <w:rPr>
          <w:rFonts w:ascii="David" w:hAnsi="David" w:cs="David"/>
          <w:sz w:val="24"/>
          <w:szCs w:val="24"/>
          <w:rtl/>
        </w:rPr>
        <w:t>התביעה נדחית, בשל הטעמים אשר פורטו בפסק הדין.</w:t>
      </w:r>
    </w:p>
    <w:p w:rsidR="002B3668" w:rsidRPr="00316C33" w:rsidRDefault="002B3668" w:rsidP="002B3668">
      <w:pPr>
        <w:pStyle w:val="a9"/>
        <w:numPr>
          <w:ilvl w:val="0"/>
          <w:numId w:val="4"/>
        </w:numPr>
        <w:spacing w:after="0" w:line="360" w:lineRule="auto"/>
        <w:jc w:val="both"/>
        <w:rPr>
          <w:rFonts w:ascii="David" w:hAnsi="David" w:cs="David"/>
          <w:sz w:val="24"/>
          <w:szCs w:val="24"/>
        </w:rPr>
      </w:pPr>
      <w:r w:rsidRPr="00316C33">
        <w:rPr>
          <w:rFonts w:ascii="David" w:hAnsi="David" w:cs="David"/>
          <w:sz w:val="24"/>
          <w:szCs w:val="24"/>
          <w:rtl/>
        </w:rPr>
        <w:t>בנסיבות דנן, אין צו להוצאות.</w:t>
      </w:r>
    </w:p>
    <w:p w:rsidR="002B3668" w:rsidRPr="006129EF" w:rsidRDefault="002B3668" w:rsidP="002B3668">
      <w:pPr>
        <w:pStyle w:val="a9"/>
        <w:spacing w:after="0" w:line="360" w:lineRule="auto"/>
        <w:jc w:val="both"/>
        <w:rPr>
          <w:rFonts w:ascii="David" w:hAnsi="David" w:cs="David"/>
          <w:sz w:val="24"/>
          <w:szCs w:val="24"/>
        </w:rPr>
      </w:pPr>
    </w:p>
    <w:p w:rsidR="002B3668" w:rsidRPr="006129EF" w:rsidRDefault="002B3668" w:rsidP="002B3668">
      <w:pPr>
        <w:spacing w:line="360" w:lineRule="auto"/>
        <w:ind w:left="-142"/>
        <w:jc w:val="both"/>
        <w:rPr>
          <w:rFonts w:ascii="David" w:hAnsi="David"/>
          <w:noProof w:val="0"/>
          <w:rtl/>
        </w:rPr>
      </w:pPr>
      <w:r w:rsidRPr="006129EF">
        <w:rPr>
          <w:rFonts w:ascii="David" w:hAnsi="David"/>
          <w:b/>
          <w:bCs/>
          <w:u w:val="single"/>
          <w:rtl/>
        </w:rPr>
        <w:t>המזכירות תמציא העתק</w:t>
      </w:r>
      <w:r>
        <w:rPr>
          <w:rFonts w:ascii="David" w:hAnsi="David"/>
          <w:b/>
          <w:bCs/>
          <w:u w:val="single"/>
          <w:rtl/>
        </w:rPr>
        <w:t xml:space="preserve"> פסק הדין לב"כ הצדדים ותסגור </w:t>
      </w:r>
      <w:r w:rsidRPr="006129EF">
        <w:rPr>
          <w:rFonts w:ascii="David" w:hAnsi="David"/>
          <w:b/>
          <w:bCs/>
          <w:u w:val="single"/>
          <w:rtl/>
        </w:rPr>
        <w:t xml:space="preserve">התיק. </w:t>
      </w:r>
    </w:p>
    <w:p w:rsidR="002B3668" w:rsidRPr="006129EF" w:rsidRDefault="002B3668" w:rsidP="002B3668">
      <w:pPr>
        <w:spacing w:line="360" w:lineRule="auto"/>
        <w:ind w:left="-142"/>
        <w:jc w:val="both"/>
        <w:rPr>
          <w:rFonts w:ascii="David" w:hAnsi="David"/>
          <w:noProof w:val="0"/>
          <w:rtl/>
        </w:rPr>
      </w:pPr>
    </w:p>
    <w:p w:rsidR="002B3668" w:rsidRPr="006129EF" w:rsidRDefault="002B3668" w:rsidP="002B3668">
      <w:pPr>
        <w:spacing w:line="360" w:lineRule="auto"/>
        <w:ind w:left="-142"/>
        <w:jc w:val="both"/>
        <w:rPr>
          <w:rFonts w:ascii="David" w:hAnsi="David"/>
          <w:noProof w:val="0"/>
          <w:rtl/>
        </w:rPr>
      </w:pPr>
      <w:r w:rsidRPr="006129EF">
        <w:rPr>
          <w:rFonts w:ascii="David" w:hAnsi="David"/>
          <w:noProof w:val="0"/>
          <w:rtl/>
        </w:rPr>
        <w:t xml:space="preserve">ניתן היום,  </w:t>
      </w:r>
      <w:sdt>
        <w:sdtPr>
          <w:rPr>
            <w:rFonts w:ascii="David" w:hAnsi="David"/>
            <w:rtl/>
          </w:rPr>
          <w:alias w:val="1455"/>
          <w:tag w:val="1455"/>
          <w:id w:val="-1604266762"/>
          <w:text w:multiLine="1"/>
        </w:sdtPr>
        <w:sdtEndPr/>
        <w:sdtContent>
          <w:r>
            <w:rPr>
              <w:rFonts w:ascii="David" w:hAnsi="David" w:hint="cs"/>
              <w:noProof w:val="0"/>
              <w:rtl/>
            </w:rPr>
            <w:t>כ"א טבת תשפ"ד</w:t>
          </w:r>
        </w:sdtContent>
      </w:sdt>
      <w:r w:rsidRPr="006129EF">
        <w:rPr>
          <w:rFonts w:ascii="David" w:hAnsi="David"/>
          <w:noProof w:val="0"/>
          <w:rtl/>
        </w:rPr>
        <w:t xml:space="preserve">, </w:t>
      </w:r>
      <w:sdt>
        <w:sdtPr>
          <w:rPr>
            <w:rFonts w:ascii="David" w:hAnsi="David"/>
            <w:rtl/>
          </w:rPr>
          <w:alias w:val="1456"/>
          <w:tag w:val="1456"/>
          <w:id w:val="1058052193"/>
          <w:text w:multiLine="1"/>
        </w:sdtPr>
        <w:sdtEndPr/>
        <w:sdtContent>
          <w:r>
            <w:rPr>
              <w:rFonts w:ascii="David" w:hAnsi="David" w:hint="cs"/>
              <w:noProof w:val="0"/>
              <w:rtl/>
            </w:rPr>
            <w:t>02 ינואר 2024</w:t>
          </w:r>
        </w:sdtContent>
      </w:sdt>
      <w:r w:rsidRPr="006129EF">
        <w:rPr>
          <w:rFonts w:ascii="David" w:hAnsi="David"/>
          <w:noProof w:val="0"/>
          <w:rtl/>
        </w:rPr>
        <w:t>, בהעדר הצדדים.</w:t>
      </w:r>
    </w:p>
    <w:p w:rsidR="002B3668" w:rsidRDefault="002B3668" w:rsidP="002B3668">
      <w:pPr>
        <w:spacing w:line="360" w:lineRule="auto"/>
        <w:jc w:val="both"/>
        <w:rPr>
          <w:rFonts w:ascii="Arial" w:hAnsi="Arial"/>
          <w:noProof w:val="0"/>
          <w:rtl/>
        </w:rPr>
      </w:pPr>
    </w:p>
    <w:p w:rsidR="007E4012" w:rsidRPr="006E61E6" w:rsidRDefault="002B3668" w:rsidP="002B3668">
      <w:pPr>
        <w:spacing w:line="360" w:lineRule="auto"/>
        <w:jc w:val="center"/>
        <w:rPr>
          <w:rFonts w:ascii="Arial" w:hAnsi="Arial"/>
          <w:noProof w:val="0"/>
        </w:rPr>
      </w:pPr>
      <w:r>
        <w:rPr>
          <w:rFonts w:ascii="Arial" w:hAnsi="Arial"/>
          <w:noProof w:val="0"/>
          <w:rtl/>
        </w:rPr>
        <w:t xml:space="preserve">                                                                 </w:t>
      </w:r>
      <w:r>
        <w:rPr>
          <w:rFonts w:ascii="Arial" w:hAnsi="Arial"/>
        </w:rPr>
        <w:drawing>
          <wp:inline distT="0" distB="0" distL="0" distR="0" wp14:anchorId="6475EC5F" wp14:editId="1AF9F652">
            <wp:extent cx="1971675" cy="1181100"/>
            <wp:effectExtent l="0" t="0" r="9525" b="0"/>
            <wp:docPr id="54" name="תמונה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7E4012" w:rsidRPr="006E61E6" w:rsidSect="0090389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A92" w:rsidRDefault="006C3A92" w:rsidP="00C04ED2">
      <w:r>
        <w:separator/>
      </w:r>
    </w:p>
  </w:endnote>
  <w:endnote w:type="continuationSeparator" w:id="0">
    <w:p w:rsidR="006C3A92" w:rsidRDefault="006C3A92" w:rsidP="00C0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B3" w:rsidRDefault="002E3CB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6E61E6">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2E3CB3">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2E3CB3">
      <w:rPr>
        <w:rStyle w:val="a8"/>
        <w:rtl/>
      </w:rPr>
      <w:t>26</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B3" w:rsidRDefault="002E3CB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A92" w:rsidRDefault="006C3A92" w:rsidP="00C04ED2">
      <w:r>
        <w:separator/>
      </w:r>
    </w:p>
  </w:footnote>
  <w:footnote w:type="continuationSeparator" w:id="0">
    <w:p w:rsidR="006C3A92" w:rsidRDefault="006C3A92" w:rsidP="00C0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B3" w:rsidRDefault="002E3C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E61E6">
    <w:pPr>
      <w:pStyle w:val="a3"/>
      <w:jc w:val="center"/>
      <w:rPr>
        <w:rFonts w:cs="FrankRuehl"/>
        <w:noProof w:val="0"/>
        <w:sz w:val="28"/>
        <w:szCs w:val="28"/>
        <w:rtl/>
      </w:rPr>
    </w:pPr>
    <w:r>
      <w:rPr>
        <w:rFonts w:cs="FrankRuehl"/>
        <w:sz w:val="28"/>
        <w:szCs w:val="28"/>
      </w:rPr>
      <w:drawing>
        <wp:inline distT="0" distB="0" distL="0" distR="0" wp14:anchorId="698773F5" wp14:editId="0C786EA0">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6E61E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C3A92">
          <w:pPr>
            <w:rPr>
              <w:b/>
              <w:bCs/>
              <w:noProof w:val="0"/>
              <w:sz w:val="26"/>
              <w:szCs w:val="26"/>
              <w:rtl/>
            </w:rPr>
          </w:pPr>
        </w:p>
      </w:tc>
      <w:tc>
        <w:tcPr>
          <w:tcW w:w="3674" w:type="dxa"/>
        </w:tcPr>
        <w:p w:rsidR="00694556" w:rsidRDefault="006C3A92">
          <w:pPr>
            <w:pStyle w:val="a3"/>
            <w:jc w:val="right"/>
            <w:rPr>
              <w:b/>
              <w:bCs/>
              <w:noProof w:val="0"/>
              <w:sz w:val="26"/>
              <w:szCs w:val="26"/>
              <w:rtl/>
            </w:rPr>
          </w:pPr>
        </w:p>
      </w:tc>
    </w:tr>
    <w:tr w:rsidR="00694556">
      <w:trPr>
        <w:trHeight w:val="337"/>
        <w:jc w:val="center"/>
      </w:trPr>
      <w:tc>
        <w:tcPr>
          <w:tcW w:w="8721" w:type="dxa"/>
          <w:gridSpan w:val="2"/>
        </w:tcPr>
        <w:p w:rsidR="00694556" w:rsidRDefault="006C3A92" w:rsidP="00C04ED2">
          <w:pPr>
            <w:rPr>
              <w:b/>
              <w:bCs/>
              <w:noProof w:val="0"/>
              <w:sz w:val="26"/>
              <w:szCs w:val="26"/>
              <w:rtl/>
            </w:rPr>
          </w:pPr>
          <w:sdt>
            <w:sdtPr>
              <w:rPr>
                <w:b/>
                <w:bCs/>
                <w:noProof w:val="0"/>
                <w:sz w:val="26"/>
                <w:szCs w:val="26"/>
                <w:rtl/>
              </w:rPr>
              <w:alias w:val="1170"/>
              <w:tag w:val="1170"/>
              <w:id w:val="299038016"/>
              <w:text w:multiLine="1"/>
            </w:sdtPr>
            <w:sdtEndPr/>
            <w:sdtContent>
              <w:r w:rsidR="006E61E6">
                <w:rPr>
                  <w:b/>
                  <w:bCs/>
                  <w:noProof w:val="0"/>
                  <w:sz w:val="26"/>
                  <w:szCs w:val="26"/>
                  <w:rtl/>
                </w:rPr>
                <w:t>תמ"ש</w:t>
              </w:r>
            </w:sdtContent>
          </w:sdt>
          <w:r w:rsidR="006E61E6">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E61E6">
                <w:rPr>
                  <w:b/>
                  <w:bCs/>
                  <w:noProof w:val="0"/>
                  <w:sz w:val="26"/>
                  <w:szCs w:val="26"/>
                  <w:rtl/>
                </w:rPr>
                <w:t>21574-02-21</w:t>
              </w:r>
            </w:sdtContent>
          </w:sdt>
          <w:bookmarkEnd w:id="0"/>
          <w:r w:rsidR="006E61E6">
            <w:rPr>
              <w:b/>
              <w:bCs/>
              <w:noProof w:val="0"/>
              <w:sz w:val="26"/>
              <w:szCs w:val="26"/>
              <w:rtl/>
            </w:rPr>
            <w:t xml:space="preserve"> </w:t>
          </w:r>
          <w:sdt>
            <w:sdtPr>
              <w:rPr>
                <w:b/>
                <w:bCs/>
                <w:noProof w:val="0"/>
                <w:sz w:val="26"/>
                <w:szCs w:val="26"/>
                <w:rtl/>
              </w:rPr>
              <w:alias w:val="1172"/>
              <w:tag w:val="1172"/>
              <w:id w:val="-1742169342"/>
              <w:text w:multiLine="1"/>
            </w:sdtPr>
            <w:sdtEndPr/>
            <w:sdtContent>
              <w:r w:rsidR="006E61E6">
                <w:rPr>
                  <w:b/>
                  <w:bCs/>
                  <w:noProof w:val="0"/>
                  <w:sz w:val="26"/>
                  <w:szCs w:val="26"/>
                  <w:rtl/>
                </w:rPr>
                <w:t>רשות האוכלוסין וההגירה –</w:t>
              </w:r>
              <w:r w:rsidR="00C04ED2">
                <w:rPr>
                  <w:rFonts w:hint="cs"/>
                  <w:b/>
                  <w:bCs/>
                  <w:noProof w:val="0"/>
                  <w:sz w:val="26"/>
                  <w:szCs w:val="26"/>
                </w:rPr>
                <w:t>XXX</w:t>
              </w:r>
              <w:r w:rsidR="006E61E6">
                <w:rPr>
                  <w:b/>
                  <w:bCs/>
                  <w:noProof w:val="0"/>
                  <w:sz w:val="26"/>
                  <w:szCs w:val="26"/>
                  <w:rtl/>
                </w:rPr>
                <w:t xml:space="preserve"> נ' </w:t>
              </w:r>
              <w:r w:rsidR="00C04ED2">
                <w:rPr>
                  <w:rFonts w:hint="cs"/>
                  <w:b/>
                  <w:bCs/>
                  <w:noProof w:val="0"/>
                  <w:sz w:val="26"/>
                  <w:szCs w:val="26"/>
                </w:rPr>
                <w:t>XXX</w:t>
              </w:r>
              <w:r w:rsidR="006E61E6">
                <w:rPr>
                  <w:b/>
                  <w:bCs/>
                  <w:noProof w:val="0"/>
                  <w:sz w:val="26"/>
                  <w:szCs w:val="26"/>
                  <w:rtl/>
                </w:rPr>
                <w:t xml:space="preserve"> ואח'</w:t>
              </w:r>
            </w:sdtContent>
          </w:sdt>
        </w:p>
        <w:p w:rsidR="00694556" w:rsidRPr="00957C90" w:rsidRDefault="006C3A92">
          <w:pPr>
            <w:rPr>
              <w:b/>
              <w:bCs/>
              <w:noProof w:val="0"/>
              <w:sz w:val="2"/>
              <w:szCs w:val="2"/>
              <w:rtl/>
            </w:rPr>
          </w:pPr>
        </w:p>
        <w:p w:rsidR="00957C90" w:rsidRPr="00957C90" w:rsidRDefault="006E61E6" w:rsidP="00C04ED2">
          <w:pPr>
            <w:rPr>
              <w:b/>
              <w:bCs/>
              <w:noProof w:val="0"/>
              <w:sz w:val="26"/>
              <w:szCs w:val="26"/>
              <w:rtl/>
            </w:rPr>
          </w:pPr>
          <w:r>
            <w:rPr>
              <w:rFonts w:hint="cs"/>
              <w:sz w:val="20"/>
              <w:szCs w:val="20"/>
              <w:rtl/>
            </w:rPr>
            <w:t xml:space="preserve">תיק חיצוני: </w:t>
          </w:r>
        </w:p>
      </w:tc>
    </w:tr>
  </w:tbl>
  <w:p w:rsidR="00694556" w:rsidRDefault="006E61E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B3" w:rsidRDefault="002E3C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91805"/>
    <w:multiLevelType w:val="hybridMultilevel"/>
    <w:tmpl w:val="3BA249A8"/>
    <w:lvl w:ilvl="0" w:tplc="3A4AAC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90912A6"/>
    <w:multiLevelType w:val="hybridMultilevel"/>
    <w:tmpl w:val="74D46698"/>
    <w:lvl w:ilvl="0" w:tplc="18E6738C">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990308"/>
    <w:multiLevelType w:val="hybridMultilevel"/>
    <w:tmpl w:val="0F847EDE"/>
    <w:lvl w:ilvl="0" w:tplc="EA96226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1D86042"/>
    <w:multiLevelType w:val="hybridMultilevel"/>
    <w:tmpl w:val="6A1C43F6"/>
    <w:lvl w:ilvl="0" w:tplc="284C45FC">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F1"/>
    <w:rsid w:val="00010184"/>
    <w:rsid w:val="00182F87"/>
    <w:rsid w:val="002B3668"/>
    <w:rsid w:val="002E3CB3"/>
    <w:rsid w:val="00382EF1"/>
    <w:rsid w:val="006C3A92"/>
    <w:rsid w:val="006E61E6"/>
    <w:rsid w:val="00735E6D"/>
    <w:rsid w:val="007E4012"/>
    <w:rsid w:val="00990608"/>
    <w:rsid w:val="00B10DB4"/>
    <w:rsid w:val="00B16559"/>
    <w:rsid w:val="00C04ED2"/>
    <w:rsid w:val="00C562FC"/>
    <w:rsid w:val="00C65CB5"/>
    <w:rsid w:val="00CB18DC"/>
    <w:rsid w:val="00D246A6"/>
    <w:rsid w:val="00D7371F"/>
    <w:rsid w:val="00E673B3"/>
    <w:rsid w:val="00F02C22"/>
    <w:rsid w:val="00F20047"/>
    <w:rsid w:val="00F34460"/>
    <w:rsid w:val="00FB2801"/>
    <w:rsid w:val="00FC218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D4DB07-31C7-472F-9268-1A1238F9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EF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82EF1"/>
    <w:pPr>
      <w:tabs>
        <w:tab w:val="center" w:pos="4153"/>
        <w:tab w:val="right" w:pos="8306"/>
      </w:tabs>
    </w:pPr>
  </w:style>
  <w:style w:type="character" w:customStyle="1" w:styleId="a4">
    <w:name w:val="כותרת עליונה תו"/>
    <w:basedOn w:val="a0"/>
    <w:link w:val="a3"/>
    <w:rsid w:val="00382EF1"/>
    <w:rPr>
      <w:rFonts w:ascii="Times New Roman" w:eastAsia="Times New Roman" w:hAnsi="Times New Roman" w:cs="David"/>
      <w:noProof/>
      <w:sz w:val="24"/>
      <w:szCs w:val="24"/>
    </w:rPr>
  </w:style>
  <w:style w:type="paragraph" w:styleId="a5">
    <w:name w:val="footer"/>
    <w:basedOn w:val="a"/>
    <w:link w:val="a6"/>
    <w:rsid w:val="00382EF1"/>
    <w:pPr>
      <w:tabs>
        <w:tab w:val="center" w:pos="4153"/>
        <w:tab w:val="right" w:pos="8306"/>
      </w:tabs>
    </w:pPr>
  </w:style>
  <w:style w:type="character" w:customStyle="1" w:styleId="a6">
    <w:name w:val="כותרת תחתונה תו"/>
    <w:basedOn w:val="a0"/>
    <w:link w:val="a5"/>
    <w:rsid w:val="00382EF1"/>
    <w:rPr>
      <w:rFonts w:ascii="Times New Roman" w:eastAsia="Times New Roman" w:hAnsi="Times New Roman" w:cs="David"/>
      <w:noProof/>
      <w:sz w:val="24"/>
      <w:szCs w:val="24"/>
    </w:rPr>
  </w:style>
  <w:style w:type="table" w:styleId="a7">
    <w:name w:val="Table Grid"/>
    <w:basedOn w:val="a1"/>
    <w:rsid w:val="00382EF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82EF1"/>
  </w:style>
  <w:style w:type="paragraph" w:styleId="a9">
    <w:name w:val="List Paragraph"/>
    <w:basedOn w:val="a"/>
    <w:uiPriority w:val="34"/>
    <w:qFormat/>
    <w:rsid w:val="00382EF1"/>
    <w:pPr>
      <w:spacing w:after="160" w:line="256"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382EF1"/>
  </w:style>
  <w:style w:type="paragraph" w:styleId="ab">
    <w:name w:val="Balloon Text"/>
    <w:basedOn w:val="a"/>
    <w:link w:val="ac"/>
    <w:uiPriority w:val="99"/>
    <w:semiHidden/>
    <w:unhideWhenUsed/>
    <w:rsid w:val="002B3668"/>
    <w:rPr>
      <w:rFonts w:ascii="Tahoma" w:hAnsi="Tahoma" w:cs="Tahoma"/>
      <w:sz w:val="18"/>
      <w:szCs w:val="18"/>
    </w:rPr>
  </w:style>
  <w:style w:type="character" w:customStyle="1" w:styleId="ac">
    <w:name w:val="טקסט בלונים תו"/>
    <w:basedOn w:val="a0"/>
    <w:link w:val="ab"/>
    <w:uiPriority w:val="99"/>
    <w:semiHidden/>
    <w:rsid w:val="002B3668"/>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76E98-7AEB-4035-84BC-1D2F606BB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7126</Words>
  <Characters>35635</Characters>
  <Application>Microsoft Office Word</Application>
  <DocSecurity>0</DocSecurity>
  <Lines>296</Lines>
  <Paragraphs>85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רינת רמון</dc:creator>
  <cp:keywords/>
  <dc:description/>
  <cp:lastModifiedBy>אסתר טטרואשילי</cp:lastModifiedBy>
  <cp:revision>2</cp:revision>
  <dcterms:created xsi:type="dcterms:W3CDTF">2024-05-21T07:33:00Z</dcterms:created>
  <dcterms:modified xsi:type="dcterms:W3CDTF">2024-05-21T07:33:00Z</dcterms:modified>
</cp:coreProperties>
</file>